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55544B" w14:textId="08400DED" w:rsidR="005C41CC" w:rsidRDefault="00533D94">
      <w:pPr>
        <w:spacing w:after="30"/>
      </w:pPr>
      <w:r>
        <w:rPr>
          <w:b/>
          <w:bCs/>
          <w:color w:val="9A7B1F"/>
          <w:spacing w:val="40"/>
          <w:sz w:val="18"/>
          <w:szCs w:val="18"/>
        </w:rPr>
        <w:t>[INSERT YOUR COUNTY]</w:t>
      </w:r>
      <w:r w:rsidR="009A7361">
        <w:rPr>
          <w:b/>
          <w:bCs/>
          <w:color w:val="9A7B1F"/>
          <w:spacing w:val="40"/>
          <w:sz w:val="18"/>
          <w:szCs w:val="18"/>
        </w:rPr>
        <w:t xml:space="preserve">, </w:t>
      </w:r>
      <w:r>
        <w:rPr>
          <w:b/>
          <w:bCs/>
          <w:color w:val="9A7B1F"/>
          <w:spacing w:val="40"/>
          <w:sz w:val="18"/>
          <w:szCs w:val="18"/>
        </w:rPr>
        <w:t>[INSERT YOUR STATE]</w:t>
      </w:r>
    </w:p>
    <w:p w14:paraId="3F8F87E7" w14:textId="2D3E864B" w:rsidR="005C41CC" w:rsidRDefault="009A7361">
      <w:pPr>
        <w:spacing w:after="20"/>
      </w:pPr>
      <w:r>
        <w:rPr>
          <w:b/>
          <w:bCs/>
          <w:color w:val="1F2A44"/>
          <w:sz w:val="32"/>
          <w:szCs w:val="32"/>
        </w:rPr>
        <w:t xml:space="preserve">An Amendment to the </w:t>
      </w:r>
      <w:r w:rsidR="00533D94">
        <w:rPr>
          <w:b/>
          <w:bCs/>
          <w:color w:val="1F2A44"/>
          <w:sz w:val="32"/>
          <w:szCs w:val="32"/>
        </w:rPr>
        <w:t>[Insert Your County]</w:t>
      </w:r>
      <w:r>
        <w:rPr>
          <w:b/>
          <w:bCs/>
          <w:color w:val="1F2A44"/>
          <w:sz w:val="32"/>
          <w:szCs w:val="32"/>
        </w:rPr>
        <w:t xml:space="preserve"> Zoning Ordinance</w:t>
      </w:r>
    </w:p>
    <w:p w14:paraId="005D8DC7" w14:textId="77777777" w:rsidR="005C41CC" w:rsidRDefault="009A7361">
      <w:pPr>
        <w:spacing w:after="20"/>
      </w:pPr>
      <w:r>
        <w:rPr>
          <w:b/>
          <w:bCs/>
          <w:color w:val="3F6B4A"/>
          <w:sz w:val="24"/>
          <w:szCs w:val="24"/>
        </w:rPr>
        <w:t>Data Center Design Standards</w:t>
      </w:r>
    </w:p>
    <w:p w14:paraId="2014AB24" w14:textId="77777777" w:rsidR="005C41CC" w:rsidRDefault="009A7361">
      <w:pPr>
        <w:pBdr>
          <w:bottom w:val="single" w:sz="12" w:space="6" w:color="1F2A44"/>
        </w:pBdr>
        <w:spacing w:after="140"/>
      </w:pPr>
      <w:r>
        <w:rPr>
          <w:i/>
          <w:iCs/>
          <w:color w:val="555555"/>
          <w:sz w:val="19"/>
          <w:szCs w:val="19"/>
        </w:rPr>
        <w:t xml:space="preserve">Draft v0.1 for Board of Supervisors </w:t>
      </w:r>
      <w:proofErr w:type="gramStart"/>
      <w:r>
        <w:rPr>
          <w:i/>
          <w:iCs/>
          <w:color w:val="555555"/>
          <w:sz w:val="19"/>
          <w:szCs w:val="19"/>
        </w:rPr>
        <w:t>review  ·</w:t>
      </w:r>
      <w:proofErr w:type="gramEnd"/>
      <w:r>
        <w:rPr>
          <w:i/>
          <w:iCs/>
          <w:color w:val="555555"/>
          <w:sz w:val="19"/>
          <w:szCs w:val="19"/>
        </w:rPr>
        <w:t xml:space="preserve">  Prepared by PathOne Data </w:t>
      </w:r>
      <w:proofErr w:type="gramStart"/>
      <w:r>
        <w:rPr>
          <w:i/>
          <w:iCs/>
          <w:color w:val="555555"/>
          <w:sz w:val="19"/>
          <w:szCs w:val="19"/>
        </w:rPr>
        <w:t>Centers  ·</w:t>
      </w:r>
      <w:proofErr w:type="gramEnd"/>
      <w:r>
        <w:rPr>
          <w:i/>
          <w:iCs/>
          <w:color w:val="555555"/>
          <w:sz w:val="19"/>
          <w:szCs w:val="19"/>
        </w:rPr>
        <w:t xml:space="preserve">  Companion to Design Guidelines v0.3</w:t>
      </w:r>
    </w:p>
    <w:p w14:paraId="53F63F1F" w14:textId="3EB078CA" w:rsidR="005C41CC" w:rsidRDefault="009A7361">
      <w:pPr>
        <w:spacing w:after="90" w:line="256" w:lineRule="auto"/>
      </w:pPr>
      <w:r>
        <w:rPr>
          <w:i/>
          <w:iCs/>
          <w:color w:val="555555"/>
          <w:sz w:val="19"/>
          <w:szCs w:val="19"/>
        </w:rPr>
        <w:t xml:space="preserve">An amendment to the </w:t>
      </w:r>
      <w:r w:rsidR="00533D94">
        <w:rPr>
          <w:i/>
          <w:iCs/>
          <w:color w:val="555555"/>
          <w:sz w:val="19"/>
          <w:szCs w:val="19"/>
        </w:rPr>
        <w:t>[Insert Your County]</w:t>
      </w:r>
      <w:r>
        <w:rPr>
          <w:i/>
          <w:iCs/>
          <w:color w:val="555555"/>
          <w:sz w:val="19"/>
          <w:szCs w:val="19"/>
        </w:rPr>
        <w:t xml:space="preserve"> Zoning Ordinance establishing design, siting, and operating standards for data center facilities in unincorporated </w:t>
      </w:r>
      <w:r w:rsidR="00533D94">
        <w:rPr>
          <w:i/>
          <w:iCs/>
          <w:color w:val="555555"/>
          <w:sz w:val="19"/>
          <w:szCs w:val="19"/>
        </w:rPr>
        <w:t>[Insert Your County]</w:t>
      </w:r>
      <w:r>
        <w:rPr>
          <w:i/>
          <w:iCs/>
          <w:color w:val="555555"/>
          <w:sz w:val="19"/>
          <w:szCs w:val="19"/>
        </w:rPr>
        <w:t xml:space="preserve">. This draft is written for County review. It is not an adopted ordinance and not legal advice. The County Attorney reviews and finalizes all language before adoption, and the County sets every value marked as a </w:t>
      </w:r>
      <w:proofErr w:type="gramStart"/>
      <w:r>
        <w:rPr>
          <w:i/>
          <w:iCs/>
          <w:color w:val="555555"/>
          <w:sz w:val="19"/>
          <w:szCs w:val="19"/>
        </w:rPr>
        <w:t>County</w:t>
      </w:r>
      <w:proofErr w:type="gramEnd"/>
      <w:r>
        <w:rPr>
          <w:i/>
          <w:iCs/>
          <w:color w:val="555555"/>
          <w:sz w:val="19"/>
          <w:szCs w:val="19"/>
        </w:rPr>
        <w:t xml:space="preserve"> decision in the companion outline.</w:t>
      </w:r>
    </w:p>
    <w:p w14:paraId="28E07595" w14:textId="77777777" w:rsidR="005C41CC" w:rsidRDefault="009A7361">
      <w:pPr>
        <w:pStyle w:val="Heading1"/>
        <w:keepNext/>
        <w:pBdr>
          <w:bottom w:val="single" w:sz="6" w:space="3" w:color="9A7B1F"/>
        </w:pBdr>
        <w:spacing w:before="260" w:after="100"/>
      </w:pPr>
      <w:r>
        <w:rPr>
          <w:b/>
          <w:bCs/>
          <w:color w:val="1F2A44"/>
          <w:sz w:val="25"/>
          <w:szCs w:val="25"/>
        </w:rPr>
        <w:t>Article I. Purpose and Intent</w:t>
      </w:r>
    </w:p>
    <w:p w14:paraId="460BAF7E" w14:textId="34E32A54" w:rsidR="005C41CC" w:rsidRDefault="009A7361">
      <w:pPr>
        <w:spacing w:after="90" w:line="256" w:lineRule="auto"/>
      </w:pPr>
      <w:r>
        <w:rPr>
          <w:color w:val="1A1A1A"/>
        </w:rPr>
        <w:t xml:space="preserve">Conventional commercial, warehouse, and general industrial zoning was not written for the impacts a data center brings. The purpose of this amendment is to allow well-designed data center development in </w:t>
      </w:r>
      <w:r w:rsidR="00533D94">
        <w:rPr>
          <w:color w:val="1A1A1A"/>
        </w:rPr>
        <w:t>[Insert Your County]</w:t>
      </w:r>
      <w:r>
        <w:rPr>
          <w:color w:val="1A1A1A"/>
        </w:rPr>
        <w:t xml:space="preserve"> in a manner that protects residents, groundwater and surface water, agricultural land, rural quiet and dark skies, County roads and drainage, and the County's long-term fiscal interests.</w:t>
      </w:r>
    </w:p>
    <w:p w14:paraId="495850DC" w14:textId="4BA9A67D" w:rsidR="005C41CC" w:rsidRDefault="009A7361">
      <w:pPr>
        <w:spacing w:after="90" w:line="256" w:lineRule="auto"/>
      </w:pPr>
      <w:r>
        <w:rPr>
          <w:color w:val="1A1A1A"/>
        </w:rPr>
        <w:t xml:space="preserve">These standards are adopted as an amendment to the </w:t>
      </w:r>
      <w:r w:rsidR="00533D94">
        <w:rPr>
          <w:color w:val="1A1A1A"/>
        </w:rPr>
        <w:t>[Insert Your County]</w:t>
      </w:r>
      <w:r>
        <w:rPr>
          <w:color w:val="1A1A1A"/>
        </w:rPr>
        <w:t xml:space="preserve"> Zoning Ordinance and are read together with the County Comprehensive Plan. Where a standard in this amendment is more specific or more protective than an existing provision, the more protective standard governs for data center uses.</w:t>
      </w:r>
    </w:p>
    <w:p w14:paraId="5C22EAD3" w14:textId="77777777" w:rsidR="005C41CC" w:rsidRDefault="009A7361">
      <w:pPr>
        <w:pStyle w:val="Heading1"/>
        <w:keepNext/>
        <w:pBdr>
          <w:bottom w:val="single" w:sz="6" w:space="3" w:color="9A7B1F"/>
        </w:pBdr>
        <w:spacing w:before="260" w:after="100"/>
      </w:pPr>
      <w:r>
        <w:rPr>
          <w:b/>
          <w:bCs/>
          <w:color w:val="1F2A44"/>
          <w:sz w:val="25"/>
          <w:szCs w:val="25"/>
        </w:rPr>
        <w:t>Article II. Applicability, Definitions, and Project Scale</w:t>
      </w:r>
    </w:p>
    <w:p w14:paraId="429797DD" w14:textId="77777777" w:rsidR="005C41CC" w:rsidRDefault="009A7361">
      <w:pPr>
        <w:keepNext/>
        <w:spacing w:before="150" w:after="50"/>
      </w:pPr>
      <w:proofErr w:type="gramStart"/>
      <w:r>
        <w:rPr>
          <w:b/>
          <w:bCs/>
          <w:color w:val="3F6B4A"/>
          <w:sz w:val="21"/>
          <w:szCs w:val="21"/>
        </w:rPr>
        <w:t>2.1  Applicability</w:t>
      </w:r>
      <w:proofErr w:type="gramEnd"/>
    </w:p>
    <w:p w14:paraId="4CA9D2C0" w14:textId="29ED0337" w:rsidR="005C41CC" w:rsidRDefault="009A7361">
      <w:pPr>
        <w:spacing w:after="90" w:line="256" w:lineRule="auto"/>
      </w:pPr>
      <w:r>
        <w:rPr>
          <w:color w:val="1A1A1A"/>
        </w:rPr>
        <w:t xml:space="preserve">This amendment applies to every new data center facility, and to every material expansion of an existing facility, in unincorporated </w:t>
      </w:r>
      <w:r w:rsidR="00533D94">
        <w:rPr>
          <w:color w:val="1A1A1A"/>
        </w:rPr>
        <w:t>[Insert Your County]</w:t>
      </w:r>
      <w:r>
        <w:rPr>
          <w:color w:val="1A1A1A"/>
        </w:rPr>
        <w:t>. Phased or multi-building campuses are evaluated in the aggregate across all buildings and all commonly controlled parcels, so a project may not avoid a threshold, or the per-parcel cap, by dividing into phases or across adjacent parcels under common control.</w:t>
      </w:r>
    </w:p>
    <w:p w14:paraId="2A06E4F2" w14:textId="77777777" w:rsidR="005C41CC" w:rsidRDefault="009A7361">
      <w:pPr>
        <w:keepNext/>
        <w:spacing w:before="150" w:after="50"/>
      </w:pPr>
      <w:proofErr w:type="gramStart"/>
      <w:r>
        <w:rPr>
          <w:b/>
          <w:bCs/>
          <w:color w:val="3F6B4A"/>
          <w:sz w:val="21"/>
          <w:szCs w:val="21"/>
        </w:rPr>
        <w:t>2.2  Project</w:t>
      </w:r>
      <w:proofErr w:type="gramEnd"/>
      <w:r>
        <w:rPr>
          <w:b/>
          <w:bCs/>
          <w:color w:val="3F6B4A"/>
          <w:sz w:val="21"/>
          <w:szCs w:val="21"/>
        </w:rPr>
        <w:t xml:space="preserve"> scale and per-parcel maximum</w:t>
      </w:r>
    </w:p>
    <w:p w14:paraId="6589DF8B" w14:textId="1C62F572" w:rsidR="005C41CC" w:rsidRDefault="009A7361">
      <w:pPr>
        <w:spacing w:after="90" w:line="256" w:lineRule="auto"/>
      </w:pPr>
      <w:r>
        <w:rPr>
          <w:color w:val="1A1A1A"/>
        </w:rPr>
        <w:t>Facilities are sized by electrical design capacity, up to a maximum of 50 MW on any single parcel. There is no minimum size; regulation is proportionate to actual capacity, and no single parcel hosts an unbounded campus.</w:t>
      </w:r>
    </w:p>
    <w:p w14:paraId="7551CA35" w14:textId="1B6EE0AC" w:rsidR="005C41CC" w:rsidRDefault="009A7361">
      <w:pPr>
        <w:spacing w:after="70" w:line="254" w:lineRule="auto"/>
        <w:ind w:left="460" w:hanging="300"/>
      </w:pPr>
      <w:r>
        <w:rPr>
          <w:b/>
          <w:bCs/>
          <w:color w:val="1F2A44"/>
        </w:rPr>
        <w:t xml:space="preserve">(a)  </w:t>
      </w:r>
      <w:r>
        <w:rPr>
          <w:color w:val="1A1A1A"/>
        </w:rPr>
        <w:t>Maximum: design capacity greater than 50 MW on a single parcel is not permitted.</w:t>
      </w:r>
    </w:p>
    <w:p w14:paraId="5DC756FA" w14:textId="77777777" w:rsidR="005C41CC" w:rsidRDefault="009A7361">
      <w:pPr>
        <w:spacing w:after="70" w:line="254" w:lineRule="auto"/>
        <w:ind w:left="460" w:hanging="300"/>
      </w:pPr>
      <w:r>
        <w:rPr>
          <w:b/>
          <w:bCs/>
          <w:color w:val="1F2A44"/>
        </w:rPr>
        <w:t xml:space="preserve">(b)  </w:t>
      </w:r>
      <w:r>
        <w:rPr>
          <w:color w:val="1A1A1A"/>
        </w:rPr>
        <w:t>No minimum: no floor on project size applies; requirements scale with the project’s actual capacity.</w:t>
      </w:r>
    </w:p>
    <w:p w14:paraId="43609B3F" w14:textId="77777777" w:rsidR="005C41CC" w:rsidRDefault="009A7361">
      <w:pPr>
        <w:spacing w:after="70" w:line="254" w:lineRule="auto"/>
        <w:ind w:left="460" w:hanging="300"/>
      </w:pPr>
      <w:r>
        <w:rPr>
          <w:b/>
          <w:bCs/>
          <w:color w:val="1F2A44"/>
        </w:rPr>
        <w:t xml:space="preserve">(c)  </w:t>
      </w:r>
      <w:r>
        <w:rPr>
          <w:color w:val="1A1A1A"/>
        </w:rPr>
        <w:t>Every facility is subject to conditional use and site-plan review, building-design review, the full agreement suite, and independent peer review.</w:t>
      </w:r>
    </w:p>
    <w:p w14:paraId="6C30A556" w14:textId="77777777" w:rsidR="005C41CC" w:rsidRDefault="009A7361">
      <w:pPr>
        <w:spacing w:after="70" w:line="254" w:lineRule="auto"/>
        <w:ind w:left="460" w:hanging="300"/>
      </w:pPr>
      <w:r>
        <w:rPr>
          <w:b/>
          <w:bCs/>
          <w:color w:val="1F2A44"/>
        </w:rPr>
        <w:t xml:space="preserve">(d)  </w:t>
      </w:r>
      <w:r>
        <w:rPr>
          <w:color w:val="1A1A1A"/>
        </w:rPr>
        <w:t>Every facility is also subject to Board findings on cumulative capacity under Article XVIII and to community benefit under Article XVI, scaled to its actual capacity.</w:t>
      </w:r>
    </w:p>
    <w:p w14:paraId="2143D233" w14:textId="77777777" w:rsidR="005C41CC" w:rsidRDefault="009A7361">
      <w:pPr>
        <w:spacing w:after="90" w:line="256" w:lineRule="auto"/>
      </w:pPr>
      <w:r>
        <w:rPr>
          <w:color w:val="1A1A1A"/>
        </w:rPr>
        <w:t>Baseline obligations apply to every facility regardless of size: metering, scheduled reporting, and a community-benefit agreement, so that a small facility does not escape oversight.</w:t>
      </w:r>
    </w:p>
    <w:p w14:paraId="41E3AF0A" w14:textId="07ADDA30"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 xml:space="preserve">Linn County EU-3 and Nebraska’s 20 MW large-load line inform the review approach; the 50 MW per-parcel maximum is a </w:t>
      </w:r>
      <w:r w:rsidR="00533D94">
        <w:rPr>
          <w:i/>
          <w:iCs/>
          <w:color w:val="555555"/>
          <w:sz w:val="18"/>
          <w:szCs w:val="18"/>
        </w:rPr>
        <w:t>[Insert Your County]</w:t>
      </w:r>
      <w:r>
        <w:rPr>
          <w:i/>
          <w:iCs/>
          <w:color w:val="555555"/>
          <w:sz w:val="18"/>
          <w:szCs w:val="18"/>
        </w:rPr>
        <w:t xml:space="preserve"> policy choice.</w:t>
      </w:r>
    </w:p>
    <w:p w14:paraId="56BEFB88" w14:textId="77777777" w:rsidR="005C41CC" w:rsidRDefault="009A7361">
      <w:pPr>
        <w:keepNext/>
        <w:spacing w:before="150" w:after="50"/>
      </w:pPr>
      <w:proofErr w:type="gramStart"/>
      <w:r>
        <w:rPr>
          <w:b/>
          <w:bCs/>
          <w:color w:val="3F6B4A"/>
          <w:sz w:val="21"/>
          <w:szCs w:val="21"/>
        </w:rPr>
        <w:t>2.3  Definitions</w:t>
      </w:r>
      <w:proofErr w:type="gramEnd"/>
    </w:p>
    <w:p w14:paraId="77C475A2" w14:textId="77777777" w:rsidR="005C41CC" w:rsidRDefault="009A7361">
      <w:pPr>
        <w:spacing w:after="70" w:line="254" w:lineRule="auto"/>
        <w:ind w:left="460" w:hanging="300"/>
      </w:pPr>
      <w:r>
        <w:rPr>
          <w:b/>
          <w:bCs/>
          <w:color w:val="1F2A44"/>
        </w:rPr>
        <w:t xml:space="preserve">(a)  </w:t>
      </w:r>
      <w:r>
        <w:rPr>
          <w:color w:val="1A1A1A"/>
        </w:rPr>
        <w:t>Data center: a facility of one or more buildings used primarily for the storage, management, processing, and transmission of digital data. Cryptocurrency-mining and blockchain-validation facilities are regulated separately by purpose and are not permitted under these data center provisions.</w:t>
      </w:r>
    </w:p>
    <w:p w14:paraId="46E1B0E7" w14:textId="339823A7" w:rsidR="005C41CC" w:rsidRDefault="009A7361">
      <w:pPr>
        <w:spacing w:after="70" w:line="254" w:lineRule="auto"/>
        <w:ind w:left="460" w:hanging="300"/>
      </w:pPr>
      <w:r>
        <w:rPr>
          <w:b/>
          <w:bCs/>
          <w:color w:val="1F2A44"/>
        </w:rPr>
        <w:t xml:space="preserve">(b)  </w:t>
      </w:r>
      <w:r>
        <w:rPr>
          <w:color w:val="1A1A1A"/>
        </w:rPr>
        <w:t>Design capacity: the maximum planned electrical load at full build-out, verified in writing by the serving utility. Design capacity governs the 50 MW per-parcel maximum.</w:t>
      </w:r>
    </w:p>
    <w:p w14:paraId="5B4C5ADE" w14:textId="77777777" w:rsidR="005C41CC" w:rsidRDefault="009A7361">
      <w:pPr>
        <w:spacing w:after="70" w:line="254" w:lineRule="auto"/>
        <w:ind w:left="460" w:hanging="300"/>
      </w:pPr>
      <w:r>
        <w:rPr>
          <w:b/>
          <w:bCs/>
          <w:color w:val="1F2A44"/>
        </w:rPr>
        <w:lastRenderedPageBreak/>
        <w:t xml:space="preserve">(c)  </w:t>
      </w:r>
      <w:r>
        <w:rPr>
          <w:color w:val="1A1A1A"/>
        </w:rPr>
        <w:t>Place of public assembly: a building where people gather for civic, educational, religious, or cultural purposes, including schools, childcare, churches, hospitals, nursing and retirement homes, and group homes.</w:t>
      </w:r>
    </w:p>
    <w:p w14:paraId="1B46E565" w14:textId="77777777" w:rsidR="005C41CC" w:rsidRDefault="009A7361">
      <w:pPr>
        <w:spacing w:after="70" w:line="254" w:lineRule="auto"/>
        <w:ind w:left="460" w:hanging="300"/>
      </w:pPr>
      <w:r>
        <w:rPr>
          <w:b/>
          <w:bCs/>
          <w:color w:val="1F2A44"/>
        </w:rPr>
        <w:t xml:space="preserve">(d)  </w:t>
      </w:r>
      <w:r>
        <w:rPr>
          <w:color w:val="1A1A1A"/>
        </w:rPr>
        <w:t>Receptor: the nearest occupied dwelling or place of public assembly, and the point at which the noise and light limits of this amendment are measured.</w:t>
      </w:r>
    </w:p>
    <w:p w14:paraId="09DB1901" w14:textId="77777777" w:rsidR="005C41CC" w:rsidRDefault="009A7361">
      <w:pPr>
        <w:pStyle w:val="Heading1"/>
        <w:keepNext/>
        <w:pBdr>
          <w:bottom w:val="single" w:sz="6" w:space="3" w:color="9A7B1F"/>
        </w:pBdr>
        <w:spacing w:before="260" w:after="100"/>
      </w:pPr>
      <w:r>
        <w:rPr>
          <w:b/>
          <w:bCs/>
          <w:color w:val="1F2A44"/>
          <w:sz w:val="25"/>
          <w:szCs w:val="25"/>
        </w:rPr>
        <w:t>Article III. Siting and Farmland Protection</w:t>
      </w:r>
    </w:p>
    <w:p w14:paraId="355AEF84" w14:textId="77777777" w:rsidR="005C41CC" w:rsidRDefault="009A7361">
      <w:pPr>
        <w:spacing w:after="90" w:line="256" w:lineRule="auto"/>
      </w:pPr>
      <w:r>
        <w:rPr>
          <w:color w:val="1A1A1A"/>
        </w:rPr>
        <w:t>These standards steer data centers onto already-disturbed or industrial ground and place the burden on the applicant to justify any use of productive cropland, using an objective soil test rather than case-by-case judgment.</w:t>
      </w:r>
    </w:p>
    <w:p w14:paraId="7CA35E9C" w14:textId="77777777" w:rsidR="005C41CC" w:rsidRDefault="009A7361">
      <w:pPr>
        <w:spacing w:after="70" w:line="254" w:lineRule="auto"/>
        <w:ind w:left="460" w:hanging="300"/>
      </w:pPr>
      <w:r>
        <w:rPr>
          <w:b/>
          <w:bCs/>
          <w:color w:val="1F2A44"/>
        </w:rPr>
        <w:t xml:space="preserve">(a)  </w:t>
      </w:r>
      <w:r>
        <w:rPr>
          <w:color w:val="1A1A1A"/>
        </w:rPr>
        <w:t>Brownfield fast lane. Previously disturbed land, or land designated industrial in the Comprehensive Plan, qualifies regardless of soil rating.</w:t>
      </w:r>
    </w:p>
    <w:p w14:paraId="227187B3" w14:textId="77777777" w:rsidR="005C41CC" w:rsidRDefault="009A7361">
      <w:pPr>
        <w:spacing w:after="70" w:line="254" w:lineRule="auto"/>
        <w:ind w:left="460" w:hanging="300"/>
      </w:pPr>
      <w:r>
        <w:rPr>
          <w:b/>
          <w:bCs/>
          <w:color w:val="1F2A44"/>
        </w:rPr>
        <w:t xml:space="preserve">(b)  </w:t>
      </w:r>
      <w:r>
        <w:rPr>
          <w:color w:val="1A1A1A"/>
        </w:rPr>
        <w:t xml:space="preserve">Marginal-land gate. Absent brownfield status, a site qualifies only where at least 75 percent of the site is non-irrigated Capability Class 3 or </w:t>
      </w:r>
      <w:proofErr w:type="gramStart"/>
      <w:r>
        <w:rPr>
          <w:color w:val="1A1A1A"/>
        </w:rPr>
        <w:t>poorer, or</w:t>
      </w:r>
      <w:proofErr w:type="gramEnd"/>
      <w:r>
        <w:rPr>
          <w:color w:val="1A1A1A"/>
        </w:rPr>
        <w:t xml:space="preserve"> carries a Corn Suitability Rating (CSR2) of 40 or below, together with existing non-farm-use, irregular-lot, and slope provisions.</w:t>
      </w:r>
    </w:p>
    <w:p w14:paraId="786FAFC5" w14:textId="77777777" w:rsidR="005C41CC" w:rsidRDefault="009A7361">
      <w:pPr>
        <w:spacing w:after="70" w:line="254" w:lineRule="auto"/>
        <w:ind w:left="460" w:hanging="300"/>
      </w:pPr>
      <w:r>
        <w:rPr>
          <w:b/>
          <w:bCs/>
          <w:color w:val="1F2A44"/>
        </w:rPr>
        <w:t xml:space="preserve">(c)  </w:t>
      </w:r>
      <w:r>
        <w:rPr>
          <w:color w:val="1A1A1A"/>
        </w:rPr>
        <w:t>Rebuttable presumption against prime farmland. Where 25 percent or more of a site's soils carry a CSR2 of 75 or higher and neither gate is met, the use is presumed inappropriate, and the burden shifts to the applicant to prove that no reasonable alternative site exists.</w:t>
      </w:r>
    </w:p>
    <w:p w14:paraId="6FB71F49" w14:textId="77777777" w:rsidR="005C41CC" w:rsidRDefault="009A7361">
      <w:pPr>
        <w:spacing w:after="70" w:line="254" w:lineRule="auto"/>
        <w:ind w:left="460" w:hanging="300"/>
      </w:pPr>
      <w:r>
        <w:rPr>
          <w:b/>
          <w:bCs/>
          <w:color w:val="1F2A44"/>
        </w:rPr>
        <w:t xml:space="preserve">(d)  </w:t>
      </w:r>
      <w:r>
        <w:rPr>
          <w:color w:val="1A1A1A"/>
        </w:rPr>
        <w:t>Grading cap. Where prime farmland is nonetheless approved, no more than 5 percent of the site's prime-farmland area may be graded or disturbed absent a specific Board modification.</w:t>
      </w:r>
    </w:p>
    <w:p w14:paraId="5F382423" w14:textId="77777777" w:rsidR="005C41CC" w:rsidRDefault="009A7361">
      <w:pPr>
        <w:spacing w:after="70" w:line="254" w:lineRule="auto"/>
        <w:ind w:left="460" w:hanging="300"/>
      </w:pPr>
      <w:r>
        <w:rPr>
          <w:b/>
          <w:bCs/>
          <w:color w:val="1F2A44"/>
        </w:rPr>
        <w:t xml:space="preserve">(e)  </w:t>
      </w:r>
      <w:r>
        <w:rPr>
          <w:color w:val="1A1A1A"/>
        </w:rPr>
        <w:t>Sites shall avoid mapped floodplain, and drainage tile, field access, and adjoining farm operations shall be protected.</w:t>
      </w:r>
    </w:p>
    <w:p w14:paraId="07CF2CDB" w14:textId="6A5A4D8C" w:rsidR="005C41CC" w:rsidRDefault="009A7361">
      <w:pPr>
        <w:spacing w:before="40" w:after="120" w:line="250" w:lineRule="auto"/>
        <w:ind w:left="260"/>
      </w:pPr>
      <w:r>
        <w:rPr>
          <w:b/>
          <w:bCs/>
          <w:i/>
          <w:iCs/>
          <w:color w:val="555555"/>
          <w:sz w:val="18"/>
          <w:szCs w:val="18"/>
        </w:rPr>
        <w:t xml:space="preserve">Precedent. </w:t>
      </w:r>
      <w:r w:rsidR="00533D94">
        <w:rPr>
          <w:i/>
          <w:iCs/>
          <w:color w:val="555555"/>
          <w:sz w:val="18"/>
          <w:szCs w:val="18"/>
        </w:rPr>
        <w:t>[Insert Your State]</w:t>
      </w:r>
      <w:r>
        <w:rPr>
          <w:i/>
          <w:iCs/>
          <w:color w:val="555555"/>
          <w:sz w:val="18"/>
          <w:szCs w:val="18"/>
        </w:rPr>
        <w:t xml:space="preserve"> counties' solar-ordinance soil tests (adopted locally); Frederick County, MD 1:5 agricultural-preservation offset (adopted) as a stricter alternative.</w:t>
      </w:r>
    </w:p>
    <w:p w14:paraId="31F894BE" w14:textId="77777777" w:rsidR="005C41CC" w:rsidRDefault="009A7361">
      <w:pPr>
        <w:pStyle w:val="Heading1"/>
        <w:keepNext/>
        <w:pBdr>
          <w:bottom w:val="single" w:sz="6" w:space="3" w:color="9A7B1F"/>
        </w:pBdr>
        <w:spacing w:before="260" w:after="100"/>
      </w:pPr>
      <w:r>
        <w:rPr>
          <w:b/>
          <w:bCs/>
          <w:color w:val="1F2A44"/>
          <w:sz w:val="25"/>
          <w:szCs w:val="25"/>
        </w:rPr>
        <w:t>Article IV. Setbacks and Lot Standards</w:t>
      </w:r>
    </w:p>
    <w:p w14:paraId="286F05EE" w14:textId="77777777" w:rsidR="005C41CC" w:rsidRDefault="009A7361">
      <w:pPr>
        <w:spacing w:after="90" w:line="256" w:lineRule="auto"/>
      </w:pPr>
      <w:r>
        <w:rPr>
          <w:color w:val="1A1A1A"/>
        </w:rPr>
        <w:t xml:space="preserve">Setbacks buffer neighbors from noise, light, and visual mass. The setback that applies depends on how a project is entitled. One rule sits above the entire article: </w:t>
      </w:r>
      <w:r>
        <w:rPr>
          <w:b/>
          <w:bCs/>
          <w:color w:val="1A1A1A"/>
        </w:rPr>
        <w:t>the noise limits in Article V shall be satisfied in every case</w:t>
      </w:r>
      <w:r>
        <w:rPr>
          <w:color w:val="1A1A1A"/>
        </w:rPr>
        <w:t>, and no setback, however derived, excuses a facility from meeting them.</w:t>
      </w:r>
    </w:p>
    <w:p w14:paraId="46434B2F" w14:textId="77777777" w:rsidR="005C41CC" w:rsidRDefault="009A7361">
      <w:pPr>
        <w:keepNext/>
        <w:spacing w:before="150" w:after="50"/>
      </w:pPr>
      <w:proofErr w:type="gramStart"/>
      <w:r>
        <w:rPr>
          <w:b/>
          <w:bCs/>
          <w:color w:val="3F6B4A"/>
          <w:sz w:val="21"/>
          <w:szCs w:val="21"/>
        </w:rPr>
        <w:t>4.1  Path</w:t>
      </w:r>
      <w:proofErr w:type="gramEnd"/>
      <w:r>
        <w:rPr>
          <w:b/>
          <w:bCs/>
          <w:color w:val="3F6B4A"/>
          <w:sz w:val="21"/>
          <w:szCs w:val="21"/>
        </w:rPr>
        <w:t xml:space="preserve"> A: project on existing industrial-zoned land (no rezone)</w:t>
      </w:r>
    </w:p>
    <w:p w14:paraId="1EA82E1B" w14:textId="77777777" w:rsidR="005C41CC" w:rsidRDefault="009A7361">
      <w:pPr>
        <w:spacing w:after="90" w:line="256" w:lineRule="auto"/>
      </w:pPr>
      <w:r>
        <w:rPr>
          <w:color w:val="1A1A1A"/>
        </w:rPr>
        <w:t>Where the project sits on a parcel already zoned for industrial use, the underlying industrial-zoning setback prevails as the dimensional standard. The facility is treated as a use within the existing industrial designation and earns no larger buffer simply for being a data center, but it shall satisfy the Article V noise limits and shall modify site and building design as needed to do so.</w:t>
      </w:r>
    </w:p>
    <w:p w14:paraId="34FD8818" w14:textId="77777777" w:rsidR="005C41CC" w:rsidRDefault="009A7361">
      <w:pPr>
        <w:spacing w:after="70" w:line="254" w:lineRule="auto"/>
        <w:ind w:left="460" w:hanging="300"/>
      </w:pPr>
      <w:r>
        <w:rPr>
          <w:b/>
          <w:bCs/>
          <w:color w:val="1F2A44"/>
        </w:rPr>
        <w:t xml:space="preserve">(a)  </w:t>
      </w:r>
      <w:r>
        <w:rPr>
          <w:color w:val="1A1A1A"/>
        </w:rPr>
        <w:t>Industrial abutting R-1 residential. Where an industrial parcel line abuts residentially zoned property, the setback along that shared boundary shall increase from the industrial standard to a negotiated distance, agreed with the County and informed by the affected residential owners, sufficient to meet the Article V noise limits at the residential receptor and to provide a meaningful visual buffer. The negotiated distance is recorded in the site-plan approval.</w:t>
      </w:r>
    </w:p>
    <w:p w14:paraId="7D5AC2BA" w14:textId="77777777" w:rsidR="005C41CC" w:rsidRDefault="009A7361">
      <w:pPr>
        <w:keepNext/>
        <w:spacing w:before="150" w:after="50"/>
      </w:pPr>
      <w:proofErr w:type="gramStart"/>
      <w:r>
        <w:rPr>
          <w:b/>
          <w:bCs/>
          <w:color w:val="3F6B4A"/>
          <w:sz w:val="21"/>
          <w:szCs w:val="21"/>
        </w:rPr>
        <w:t>4.2  Path</w:t>
      </w:r>
      <w:proofErr w:type="gramEnd"/>
      <w:r>
        <w:rPr>
          <w:b/>
          <w:bCs/>
          <w:color w:val="3F6B4A"/>
          <w:sz w:val="21"/>
          <w:szCs w:val="21"/>
        </w:rPr>
        <w:t xml:space="preserve"> B: project requiring a rezone</w:t>
      </w:r>
    </w:p>
    <w:p w14:paraId="1DED5AC0" w14:textId="77777777" w:rsidR="005C41CC" w:rsidRDefault="009A7361">
      <w:pPr>
        <w:spacing w:after="90" w:line="256" w:lineRule="auto"/>
      </w:pPr>
      <w:r>
        <w:rPr>
          <w:color w:val="1A1A1A"/>
        </w:rPr>
        <w:t>Where the project requires a rezone, setbacks are set at one-half of the Linn County EU-3 adopted standards:</w:t>
      </w:r>
    </w:p>
    <w:p w14:paraId="35BF30EC" w14:textId="77777777" w:rsidR="005C41CC" w:rsidRDefault="009A7361">
      <w:pPr>
        <w:spacing w:after="70" w:line="254" w:lineRule="auto"/>
        <w:ind w:left="460" w:hanging="300"/>
      </w:pPr>
      <w:r>
        <w:rPr>
          <w:b/>
          <w:bCs/>
          <w:color w:val="1F2A44"/>
        </w:rPr>
        <w:t xml:space="preserve">(a)  </w:t>
      </w:r>
      <w:r>
        <w:rPr>
          <w:color w:val="1A1A1A"/>
        </w:rPr>
        <w:t>Setback to any property line: 100 feet (Linn County: 200 feet).</w:t>
      </w:r>
    </w:p>
    <w:p w14:paraId="02C497EB" w14:textId="77777777" w:rsidR="005C41CC" w:rsidRDefault="009A7361">
      <w:pPr>
        <w:spacing w:after="70" w:line="254" w:lineRule="auto"/>
        <w:ind w:left="460" w:hanging="300"/>
      </w:pPr>
      <w:r>
        <w:rPr>
          <w:b/>
          <w:bCs/>
          <w:color w:val="1F2A44"/>
        </w:rPr>
        <w:t xml:space="preserve">(b)  </w:t>
      </w:r>
      <w:r>
        <w:rPr>
          <w:color w:val="1A1A1A"/>
        </w:rPr>
        <w:t>Setback to a residential property or place of public assembly: 500 feet, wall to receptor (Linn County: 1,000 feet).</w:t>
      </w:r>
    </w:p>
    <w:p w14:paraId="4B04BF1A" w14:textId="6E9C8AB1" w:rsidR="005C41CC" w:rsidRDefault="009A7361">
      <w:pPr>
        <w:spacing w:after="90" w:line="256" w:lineRule="auto"/>
      </w:pPr>
      <w:r>
        <w:rPr>
          <w:color w:val="1A1A1A"/>
        </w:rPr>
        <w:t>Halving the Linn County setbacks on rezoned land is a deliberate policy choice. Oversized buffers force the large land assemblages that drive mega-site development; the smaller setback, paired with the 50 MW per-parcel cap and the always-controlling noise rule, constrains rather than enlarges a project's footprint.</w:t>
      </w:r>
    </w:p>
    <w:p w14:paraId="10243326" w14:textId="77777777" w:rsidR="005C41CC" w:rsidRDefault="009A7361">
      <w:pPr>
        <w:keepNext/>
        <w:spacing w:before="150" w:after="50"/>
      </w:pPr>
      <w:proofErr w:type="gramStart"/>
      <w:r>
        <w:rPr>
          <w:b/>
          <w:bCs/>
          <w:color w:val="3F6B4A"/>
          <w:sz w:val="21"/>
          <w:szCs w:val="21"/>
        </w:rPr>
        <w:lastRenderedPageBreak/>
        <w:t>4.3  Height</w:t>
      </w:r>
      <w:proofErr w:type="gramEnd"/>
      <w:r>
        <w:rPr>
          <w:b/>
          <w:bCs/>
          <w:color w:val="3F6B4A"/>
          <w:sz w:val="21"/>
          <w:szCs w:val="21"/>
        </w:rPr>
        <w:t xml:space="preserve"> and frontage (both paths)</w:t>
      </w:r>
    </w:p>
    <w:p w14:paraId="57CAF618" w14:textId="77777777" w:rsidR="005C41CC" w:rsidRDefault="009A7361">
      <w:pPr>
        <w:spacing w:after="90" w:line="256" w:lineRule="auto"/>
      </w:pPr>
      <w:r>
        <w:rPr>
          <w:color w:val="1A1A1A"/>
        </w:rPr>
        <w:t xml:space="preserve">Maximum building height is set by the Board within a </w:t>
      </w:r>
      <w:proofErr w:type="gramStart"/>
      <w:r>
        <w:rPr>
          <w:color w:val="1A1A1A"/>
        </w:rPr>
        <w:t>45 to 75 foot</w:t>
      </w:r>
      <w:proofErr w:type="gramEnd"/>
      <w:r>
        <w:rPr>
          <w:color w:val="1A1A1A"/>
        </w:rPr>
        <w:t xml:space="preserve"> band, excluding limited screened rooftop equipment. A landscaped yard of at least 20 feet is provided along public street frontage, except at driveways.</w:t>
      </w:r>
    </w:p>
    <w:p w14:paraId="204FE6E3" w14:textId="1DD35C7D"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 xml:space="preserve">Linn County EU-3 (adopted February 2026). The half-standard and the R-1 negotiated increase are </w:t>
      </w:r>
      <w:r w:rsidR="00533D94">
        <w:rPr>
          <w:i/>
          <w:iCs/>
          <w:color w:val="555555"/>
          <w:sz w:val="18"/>
          <w:szCs w:val="18"/>
        </w:rPr>
        <w:t>[Insert Your County]</w:t>
      </w:r>
      <w:r>
        <w:rPr>
          <w:i/>
          <w:iCs/>
          <w:color w:val="555555"/>
          <w:sz w:val="18"/>
          <w:szCs w:val="18"/>
        </w:rPr>
        <w:t xml:space="preserve"> policy choices.</w:t>
      </w:r>
    </w:p>
    <w:p w14:paraId="34596915" w14:textId="77777777" w:rsidR="005C41CC" w:rsidRDefault="009A7361">
      <w:pPr>
        <w:pStyle w:val="Heading1"/>
        <w:keepNext/>
        <w:pBdr>
          <w:bottom w:val="single" w:sz="6" w:space="3" w:color="9A7B1F"/>
        </w:pBdr>
        <w:spacing w:before="260" w:after="100"/>
      </w:pPr>
      <w:r>
        <w:rPr>
          <w:b/>
          <w:bCs/>
          <w:color w:val="1F2A44"/>
          <w:sz w:val="25"/>
          <w:szCs w:val="25"/>
        </w:rPr>
        <w:t>Article V. Noise Performance and Acoustic Design</w:t>
      </w:r>
    </w:p>
    <w:p w14:paraId="65212391" w14:textId="77777777" w:rsidR="005C41CC" w:rsidRDefault="009A7361">
      <w:pPr>
        <w:spacing w:after="90" w:line="256" w:lineRule="auto"/>
      </w:pPr>
      <w:r>
        <w:rPr>
          <w:color w:val="1A1A1A"/>
        </w:rPr>
        <w:t>Continuous cooling and power equipment, and periodic generator testing, are the impacts residents raise most. Low-frequency sound (</w:t>
      </w:r>
      <w:proofErr w:type="spellStart"/>
      <w:r>
        <w:rPr>
          <w:color w:val="1A1A1A"/>
        </w:rPr>
        <w:t>dBC</w:t>
      </w:r>
      <w:proofErr w:type="spellEnd"/>
      <w:r>
        <w:rPr>
          <w:color w:val="1A1A1A"/>
        </w:rPr>
        <w:t xml:space="preserve">) matters as much as overall level (dBA) and can affect livestock. This article sets the numeric limits and requires that they be met </w:t>
      </w:r>
      <w:r>
        <w:rPr>
          <w:b/>
          <w:bCs/>
          <w:color w:val="1A1A1A"/>
        </w:rPr>
        <w:t>through building construction and equipment design rather than through distance</w:t>
      </w:r>
      <w:r>
        <w:rPr>
          <w:color w:val="1A1A1A"/>
        </w:rPr>
        <w:t>, so that reasonable setbacks, not oversized buffers, control sound.</w:t>
      </w:r>
    </w:p>
    <w:p w14:paraId="435E62D1" w14:textId="77777777" w:rsidR="005C41CC" w:rsidRDefault="009A7361">
      <w:pPr>
        <w:keepNext/>
        <w:spacing w:before="150" w:after="50"/>
      </w:pPr>
      <w:proofErr w:type="gramStart"/>
      <w:r>
        <w:rPr>
          <w:b/>
          <w:bCs/>
          <w:color w:val="3F6B4A"/>
          <w:sz w:val="21"/>
          <w:szCs w:val="21"/>
        </w:rPr>
        <w:t>5.1  Noise</w:t>
      </w:r>
      <w:proofErr w:type="gramEnd"/>
      <w:r>
        <w:rPr>
          <w:b/>
          <w:bCs/>
          <w:color w:val="3F6B4A"/>
          <w:sz w:val="21"/>
          <w:szCs w:val="21"/>
        </w:rPr>
        <w:t xml:space="preserve"> limits at the receptor</w:t>
      </w:r>
    </w:p>
    <w:p w14:paraId="1701D068" w14:textId="77777777" w:rsidR="005C41CC" w:rsidRDefault="009A7361">
      <w:pPr>
        <w:spacing w:after="90" w:line="256" w:lineRule="auto"/>
      </w:pPr>
      <w:r>
        <w:rPr>
          <w:color w:val="1A1A1A"/>
        </w:rPr>
        <w:t>Measured at the outer wall of the affected occupied structure, above a baseline ambient established by an acoustic study:</w:t>
      </w:r>
    </w:p>
    <w:p w14:paraId="3BA4EF83" w14:textId="77777777" w:rsidR="005C41CC" w:rsidRDefault="009A7361">
      <w:pPr>
        <w:spacing w:after="70" w:line="254" w:lineRule="auto"/>
        <w:ind w:left="460" w:hanging="300"/>
      </w:pPr>
      <w:r>
        <w:rPr>
          <w:b/>
          <w:bCs/>
          <w:color w:val="1F2A44"/>
        </w:rPr>
        <w:t xml:space="preserve">(a)  </w:t>
      </w:r>
      <w:r>
        <w:rPr>
          <w:color w:val="1A1A1A"/>
        </w:rPr>
        <w:t xml:space="preserve">Residential, daytime: 55 dBA and 65 </w:t>
      </w:r>
      <w:proofErr w:type="spellStart"/>
      <w:r>
        <w:rPr>
          <w:color w:val="1A1A1A"/>
        </w:rPr>
        <w:t>dBC</w:t>
      </w:r>
      <w:proofErr w:type="spellEnd"/>
      <w:r>
        <w:rPr>
          <w:color w:val="1A1A1A"/>
        </w:rPr>
        <w:t>.</w:t>
      </w:r>
    </w:p>
    <w:p w14:paraId="4185443D" w14:textId="77777777" w:rsidR="005C41CC" w:rsidRDefault="009A7361">
      <w:pPr>
        <w:spacing w:after="70" w:line="254" w:lineRule="auto"/>
        <w:ind w:left="460" w:hanging="300"/>
      </w:pPr>
      <w:r>
        <w:rPr>
          <w:b/>
          <w:bCs/>
          <w:color w:val="1F2A44"/>
        </w:rPr>
        <w:t xml:space="preserve">(b)  </w:t>
      </w:r>
      <w:r>
        <w:rPr>
          <w:color w:val="1A1A1A"/>
        </w:rPr>
        <w:t xml:space="preserve">Residential, nighttime: 50 dBA and 65 </w:t>
      </w:r>
      <w:proofErr w:type="spellStart"/>
      <w:r>
        <w:rPr>
          <w:color w:val="1A1A1A"/>
        </w:rPr>
        <w:t>dBC</w:t>
      </w:r>
      <w:proofErr w:type="spellEnd"/>
      <w:r>
        <w:rPr>
          <w:color w:val="1A1A1A"/>
        </w:rPr>
        <w:t>.</w:t>
      </w:r>
    </w:p>
    <w:p w14:paraId="3097B539" w14:textId="77777777" w:rsidR="005C41CC" w:rsidRDefault="009A7361">
      <w:pPr>
        <w:spacing w:after="70" w:line="254" w:lineRule="auto"/>
        <w:ind w:left="460" w:hanging="300"/>
      </w:pPr>
      <w:r>
        <w:rPr>
          <w:b/>
          <w:bCs/>
          <w:color w:val="1F2A44"/>
        </w:rPr>
        <w:t xml:space="preserve">(c)  </w:t>
      </w:r>
      <w:r>
        <w:rPr>
          <w:color w:val="1A1A1A"/>
        </w:rPr>
        <w:t xml:space="preserve">Non-residential adjacent: 65 dBA and 75 </w:t>
      </w:r>
      <w:proofErr w:type="spellStart"/>
      <w:r>
        <w:rPr>
          <w:color w:val="1A1A1A"/>
        </w:rPr>
        <w:t>dBC</w:t>
      </w:r>
      <w:proofErr w:type="spellEnd"/>
      <w:r>
        <w:rPr>
          <w:color w:val="1A1A1A"/>
        </w:rPr>
        <w:t>.</w:t>
      </w:r>
    </w:p>
    <w:p w14:paraId="4710161C" w14:textId="77777777" w:rsidR="005C41CC" w:rsidRDefault="009A7361">
      <w:pPr>
        <w:keepNext/>
        <w:spacing w:before="150" w:after="50"/>
      </w:pPr>
      <w:proofErr w:type="gramStart"/>
      <w:r>
        <w:rPr>
          <w:b/>
          <w:bCs/>
          <w:color w:val="3F6B4A"/>
          <w:sz w:val="21"/>
          <w:szCs w:val="21"/>
        </w:rPr>
        <w:t>5.2  Compliance</w:t>
      </w:r>
      <w:proofErr w:type="gramEnd"/>
      <w:r>
        <w:rPr>
          <w:b/>
          <w:bCs/>
          <w:color w:val="3F6B4A"/>
          <w:sz w:val="21"/>
          <w:szCs w:val="21"/>
        </w:rPr>
        <w:t xml:space="preserve"> by design (the controlling rule)</w:t>
      </w:r>
    </w:p>
    <w:p w14:paraId="4F2D182C" w14:textId="77777777" w:rsidR="005C41CC" w:rsidRDefault="009A7361">
      <w:pPr>
        <w:spacing w:after="90" w:line="256" w:lineRule="auto"/>
      </w:pPr>
      <w:r>
        <w:rPr>
          <w:color w:val="1A1A1A"/>
        </w:rPr>
        <w:t xml:space="preserve">The decibel limits in Section 5.1 govern in every case. Whichever setback path applies under Article IV, the facility shall meet these limits at the receptor and shall modify site layout and building construction until it does. A setback never waives the noise standard. Where the applicable setback alone will not achieve compliance, the applicant shall employ the acoustic measures in Section </w:t>
      </w:r>
      <w:proofErr w:type="gramStart"/>
      <w:r>
        <w:rPr>
          <w:color w:val="1A1A1A"/>
        </w:rPr>
        <w:t>5.3, and</w:t>
      </w:r>
      <w:proofErr w:type="gramEnd"/>
      <w:r>
        <w:rPr>
          <w:color w:val="1A1A1A"/>
        </w:rPr>
        <w:t xml:space="preserve"> shall not rely on enlarged separation distance as a substitute.</w:t>
      </w:r>
    </w:p>
    <w:p w14:paraId="10052E53" w14:textId="77777777" w:rsidR="005C41CC" w:rsidRDefault="009A7361">
      <w:pPr>
        <w:keepNext/>
        <w:spacing w:before="150" w:after="50"/>
      </w:pPr>
      <w:proofErr w:type="gramStart"/>
      <w:r>
        <w:rPr>
          <w:b/>
          <w:bCs/>
          <w:color w:val="3F6B4A"/>
          <w:sz w:val="21"/>
          <w:szCs w:val="21"/>
        </w:rPr>
        <w:t>5.3  Accepted</w:t>
      </w:r>
      <w:proofErr w:type="gramEnd"/>
      <w:r>
        <w:rPr>
          <w:b/>
          <w:bCs/>
          <w:color w:val="3F6B4A"/>
          <w:sz w:val="21"/>
          <w:szCs w:val="21"/>
        </w:rPr>
        <w:t xml:space="preserve"> acoustic construction measures</w:t>
      </w:r>
    </w:p>
    <w:p w14:paraId="31CECD91" w14:textId="77777777" w:rsidR="005C41CC" w:rsidRDefault="009A7361">
      <w:pPr>
        <w:spacing w:after="90" w:line="256" w:lineRule="auto"/>
      </w:pPr>
      <w:r>
        <w:rPr>
          <w:color w:val="1A1A1A"/>
        </w:rPr>
        <w:t>Compliance is demonstrated by engineered design. Accepted measures include, without limitation:</w:t>
      </w:r>
    </w:p>
    <w:p w14:paraId="65B0FBFB" w14:textId="77777777" w:rsidR="005C41CC" w:rsidRDefault="009A7361">
      <w:pPr>
        <w:pStyle w:val="ListParagraph"/>
        <w:numPr>
          <w:ilvl w:val="0"/>
          <w:numId w:val="2"/>
        </w:numPr>
        <w:spacing w:after="60" w:line="252" w:lineRule="auto"/>
      </w:pPr>
      <w:r>
        <w:rPr>
          <w:color w:val="1A1A1A"/>
        </w:rPr>
        <w:t>Full enclosure of cooling and power equipment within the building envelope, or within purpose-built acoustic enclosures rated for the required insertion loss.</w:t>
      </w:r>
    </w:p>
    <w:p w14:paraId="51BFB0E3" w14:textId="77777777" w:rsidR="005C41CC" w:rsidRDefault="009A7361">
      <w:pPr>
        <w:pStyle w:val="ListParagraph"/>
        <w:numPr>
          <w:ilvl w:val="0"/>
          <w:numId w:val="2"/>
        </w:numPr>
        <w:spacing w:after="60" w:line="252" w:lineRule="auto"/>
      </w:pPr>
      <w:r>
        <w:rPr>
          <w:color w:val="1A1A1A"/>
        </w:rPr>
        <w:t>High-mass exterior wall assemblies, such as insulated tilt-up concrete or equivalent assemblies of a specified sound-transmission-class rating, on elevations facing a receptor.</w:t>
      </w:r>
    </w:p>
    <w:p w14:paraId="41F1D319" w14:textId="77777777" w:rsidR="005C41CC" w:rsidRDefault="009A7361">
      <w:pPr>
        <w:pStyle w:val="ListParagraph"/>
        <w:numPr>
          <w:ilvl w:val="0"/>
          <w:numId w:val="2"/>
        </w:numPr>
        <w:spacing w:after="60" w:line="252" w:lineRule="auto"/>
      </w:pPr>
      <w:r>
        <w:rPr>
          <w:color w:val="1A1A1A"/>
        </w:rPr>
        <w:t>Acoustic louvers, duct silencers, and attenuators on all air intake and discharge paths.</w:t>
      </w:r>
    </w:p>
    <w:p w14:paraId="753C4FBA" w14:textId="77777777" w:rsidR="005C41CC" w:rsidRDefault="009A7361">
      <w:pPr>
        <w:pStyle w:val="ListParagraph"/>
        <w:numPr>
          <w:ilvl w:val="0"/>
          <w:numId w:val="2"/>
        </w:numPr>
        <w:spacing w:after="60" w:line="252" w:lineRule="auto"/>
      </w:pPr>
      <w:r>
        <w:rPr>
          <w:color w:val="1A1A1A"/>
        </w:rPr>
        <w:t>Selection of low-noise equipment, and interior placement of mechanical equipment oriented away from the nearest receptor.</w:t>
      </w:r>
    </w:p>
    <w:p w14:paraId="25CB971F" w14:textId="77777777" w:rsidR="005C41CC" w:rsidRDefault="009A7361">
      <w:pPr>
        <w:pStyle w:val="ListParagraph"/>
        <w:numPr>
          <w:ilvl w:val="0"/>
          <w:numId w:val="2"/>
        </w:numPr>
        <w:spacing w:after="60" w:line="252" w:lineRule="auto"/>
      </w:pPr>
      <w:r>
        <w:rPr>
          <w:color w:val="1A1A1A"/>
        </w:rPr>
        <w:t>Berms and dense landscape buffers as supplementary measures, which count toward achieving the limits.</w:t>
      </w:r>
    </w:p>
    <w:p w14:paraId="0E71402E" w14:textId="77777777" w:rsidR="005C41CC" w:rsidRDefault="009A7361">
      <w:pPr>
        <w:spacing w:after="90" w:line="256" w:lineRule="auto"/>
      </w:pPr>
      <w:r>
        <w:rPr>
          <w:color w:val="1A1A1A"/>
        </w:rPr>
        <w:t xml:space="preserve">Where the measures in this section achieve the Section 5.1 limits at the receptor, </w:t>
      </w:r>
      <w:r>
        <w:rPr>
          <w:b/>
          <w:bCs/>
          <w:color w:val="1A1A1A"/>
        </w:rPr>
        <w:t>the dimensional setback need not be enlarged beyond the base standard of Article IV.</w:t>
      </w:r>
      <w:r>
        <w:rPr>
          <w:color w:val="1A1A1A"/>
        </w:rPr>
        <w:t xml:space="preserve"> This is the express basis on which the County controls noise without requiring outsized setbacks.</w:t>
      </w:r>
    </w:p>
    <w:p w14:paraId="29B7D5DE" w14:textId="77777777" w:rsidR="005C41CC" w:rsidRDefault="009A7361">
      <w:pPr>
        <w:keepNext/>
        <w:spacing w:before="150" w:after="50"/>
      </w:pPr>
      <w:proofErr w:type="gramStart"/>
      <w:r>
        <w:rPr>
          <w:b/>
          <w:bCs/>
          <w:color w:val="3F6B4A"/>
          <w:sz w:val="21"/>
          <w:szCs w:val="21"/>
        </w:rPr>
        <w:t>5.4  Testing</w:t>
      </w:r>
      <w:proofErr w:type="gramEnd"/>
      <w:r>
        <w:rPr>
          <w:b/>
          <w:bCs/>
          <w:color w:val="3F6B4A"/>
          <w:sz w:val="21"/>
          <w:szCs w:val="21"/>
        </w:rPr>
        <w:t xml:space="preserve"> and verification</w:t>
      </w:r>
    </w:p>
    <w:p w14:paraId="0C945F1F" w14:textId="77777777" w:rsidR="005C41CC" w:rsidRDefault="009A7361">
      <w:pPr>
        <w:spacing w:after="70" w:line="254" w:lineRule="auto"/>
        <w:ind w:left="460" w:hanging="300"/>
      </w:pPr>
      <w:r>
        <w:rPr>
          <w:b/>
          <w:bCs/>
          <w:color w:val="1F2A44"/>
        </w:rPr>
        <w:t xml:space="preserve">(a)  </w:t>
      </w:r>
      <w:r>
        <w:rPr>
          <w:color w:val="1A1A1A"/>
        </w:rPr>
        <w:t>Generator testing and other elevated-noise maintenance is limited to 8:00 a.m. to 6:00 p.m., Monday through Friday, unless the County approves otherwise, and may be barred on declared poor-air-quality days under Article XI.</w:t>
      </w:r>
    </w:p>
    <w:p w14:paraId="3311E7F4" w14:textId="77777777" w:rsidR="005C41CC" w:rsidRDefault="009A7361">
      <w:pPr>
        <w:spacing w:after="70" w:line="254" w:lineRule="auto"/>
        <w:ind w:left="460" w:hanging="300"/>
      </w:pPr>
      <w:r>
        <w:rPr>
          <w:b/>
          <w:bCs/>
          <w:color w:val="1F2A44"/>
        </w:rPr>
        <w:t xml:space="preserve">(b)  </w:t>
      </w:r>
      <w:r>
        <w:rPr>
          <w:color w:val="1A1A1A"/>
        </w:rPr>
        <w:t>The applicant shall provide a pre-construction acoustic baseline and a post-construction noise study at full load by an INCE-certified professional or licensed engineer, with re-testing every five years for the life of the facility, at the operator's expense.</w:t>
      </w:r>
    </w:p>
    <w:p w14:paraId="50FC3E40" w14:textId="77777777" w:rsidR="005C41CC" w:rsidRDefault="009A7361">
      <w:pPr>
        <w:spacing w:after="70" w:line="254" w:lineRule="auto"/>
        <w:ind w:left="460" w:hanging="300"/>
      </w:pPr>
      <w:r>
        <w:rPr>
          <w:b/>
          <w:bCs/>
          <w:color w:val="1F2A44"/>
        </w:rPr>
        <w:t xml:space="preserve">(c)  </w:t>
      </w:r>
      <w:r>
        <w:rPr>
          <w:color w:val="1A1A1A"/>
        </w:rPr>
        <w:t>Adjacent owners may waive higher limits by recorded written agreement; short-term exceedances are allowed during severe weather.</w:t>
      </w:r>
    </w:p>
    <w:p w14:paraId="77ED0972"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Linn County EU-3 (adopted) with lifetime retests; Chandler, AZ Ordinance No. 5033 testing protocol; St. Louis Armory bad-air-day and limited-window generator testing (adopted condition). The day and night split is added here.</w:t>
      </w:r>
    </w:p>
    <w:p w14:paraId="5B903F57" w14:textId="77777777" w:rsidR="005C41CC" w:rsidRDefault="009A7361">
      <w:pPr>
        <w:pStyle w:val="Heading1"/>
        <w:keepNext/>
        <w:pBdr>
          <w:bottom w:val="single" w:sz="6" w:space="3" w:color="9A7B1F"/>
        </w:pBdr>
        <w:spacing w:before="260" w:after="100"/>
      </w:pPr>
      <w:r>
        <w:rPr>
          <w:b/>
          <w:bCs/>
          <w:color w:val="1F2A44"/>
          <w:sz w:val="25"/>
          <w:szCs w:val="25"/>
        </w:rPr>
        <w:lastRenderedPageBreak/>
        <w:t>Article VI. Water Supply, Closed-Loop Cooling, and Sustainability</w:t>
      </w:r>
    </w:p>
    <w:p w14:paraId="47DAE038" w14:textId="380B4DAA" w:rsidR="005C41CC" w:rsidRDefault="009A7361">
      <w:pPr>
        <w:spacing w:after="90" w:line="256" w:lineRule="auto"/>
      </w:pPr>
      <w:r>
        <w:rPr>
          <w:color w:val="1A1A1A"/>
        </w:rPr>
        <w:t xml:space="preserve">Water is the central concern in </w:t>
      </w:r>
      <w:r w:rsidR="00533D94">
        <w:rPr>
          <w:color w:val="1A1A1A"/>
        </w:rPr>
        <w:t>[Insert Your State]</w:t>
      </w:r>
      <w:r>
        <w:rPr>
          <w:color w:val="1A1A1A"/>
        </w:rPr>
        <w:t xml:space="preserve">'s data-center debate, and the water question is a cooling question. The County cannot issue water-use permits, which sit with the </w:t>
      </w:r>
      <w:r w:rsidR="00533D94">
        <w:rPr>
          <w:color w:val="1A1A1A"/>
        </w:rPr>
        <w:t>[Insert Your State]</w:t>
      </w:r>
      <w:r>
        <w:rPr>
          <w:color w:val="1A1A1A"/>
        </w:rPr>
        <w:t xml:space="preserve"> DNR, but it can require information and enter agreements that add local protection.</w:t>
      </w:r>
    </w:p>
    <w:p w14:paraId="32D8A899" w14:textId="77777777" w:rsidR="005C41CC" w:rsidRDefault="009A7361">
      <w:pPr>
        <w:keepNext/>
        <w:spacing w:before="150" w:after="50"/>
      </w:pPr>
      <w:proofErr w:type="gramStart"/>
      <w:r>
        <w:rPr>
          <w:b/>
          <w:bCs/>
          <w:color w:val="3F6B4A"/>
          <w:sz w:val="21"/>
          <w:szCs w:val="21"/>
        </w:rPr>
        <w:t>6.1  Closed</w:t>
      </w:r>
      <w:proofErr w:type="gramEnd"/>
      <w:r>
        <w:rPr>
          <w:b/>
          <w:bCs/>
          <w:color w:val="3F6B4A"/>
          <w:sz w:val="21"/>
          <w:szCs w:val="21"/>
        </w:rPr>
        <w:t>-loop cooling performance standard</w:t>
      </w:r>
    </w:p>
    <w:p w14:paraId="3CC8D0C5" w14:textId="77777777" w:rsidR="005C41CC" w:rsidRDefault="009A7361">
      <w:pPr>
        <w:spacing w:after="90" w:line="256" w:lineRule="auto"/>
      </w:pPr>
      <w:r>
        <w:rPr>
          <w:color w:val="1A1A1A"/>
        </w:rPr>
        <w:t xml:space="preserve">Cooling shall meet a performance standard, not a technology mandate. A closed-loop or non-evaporative cooling system is required unless the applicant demonstrates that an alternative uses </w:t>
      </w:r>
      <w:r>
        <w:rPr>
          <w:b/>
          <w:bCs/>
          <w:color w:val="1A1A1A"/>
        </w:rPr>
        <w:t>both less water and less energy</w:t>
      </w:r>
      <w:r>
        <w:rPr>
          <w:color w:val="1A1A1A"/>
        </w:rPr>
        <w:t>. The required water performance is benchmarked to the Shumate HD/AC hybrid loop, the dual-temperature closed-loop system developed by Darren Shumate (Shumate Engineering). That system draws approximately 8 gallons per MW per hour, about 192 gallons per MW per day, or roughly 70,000 gallons per MW per year, against approximately 80 gallons per MW per hour for conventional water-cooled chillers with cooling towers: a reduction on the order of 90 percent. Because that benchmark is met with off-the-shelf components, the standard is a result the market can meet, not a de facto prohibition.</w:t>
      </w:r>
    </w:p>
    <w:p w14:paraId="7EFDF193" w14:textId="77777777" w:rsidR="005C41CC" w:rsidRDefault="009A7361">
      <w:pPr>
        <w:spacing w:after="90" w:line="256" w:lineRule="auto"/>
      </w:pPr>
      <w:r>
        <w:rPr>
          <w:color w:val="1A1A1A"/>
        </w:rPr>
        <w:t>Wells and groundwater may serve domestic use only. A facility shall not draw primary cooling make-up water from private potable wells.</w:t>
      </w:r>
    </w:p>
    <w:p w14:paraId="6F2996B3" w14:textId="77777777" w:rsidR="005C41CC" w:rsidRDefault="009A7361">
      <w:pPr>
        <w:keepNext/>
        <w:spacing w:before="150" w:after="50"/>
      </w:pPr>
      <w:proofErr w:type="gramStart"/>
      <w:r>
        <w:rPr>
          <w:b/>
          <w:bCs/>
          <w:color w:val="3F6B4A"/>
          <w:sz w:val="21"/>
          <w:szCs w:val="21"/>
        </w:rPr>
        <w:t>6.2  Water</w:t>
      </w:r>
      <w:proofErr w:type="gramEnd"/>
      <w:r>
        <w:rPr>
          <w:b/>
          <w:bCs/>
          <w:color w:val="3F6B4A"/>
          <w:sz w:val="21"/>
          <w:szCs w:val="21"/>
        </w:rPr>
        <w:t xml:space="preserve"> use in context</w:t>
      </w:r>
    </w:p>
    <w:p w14:paraId="29874C70" w14:textId="77777777" w:rsidR="005C41CC" w:rsidRDefault="009A7361">
      <w:pPr>
        <w:spacing w:after="90" w:line="256" w:lineRule="auto"/>
      </w:pPr>
      <w:r>
        <w:rPr>
          <w:color w:val="1A1A1A"/>
        </w:rPr>
        <w:t xml:space="preserve">On a per-megawatt basis, each megawatt of cooling capacity uses about 192 gallons per day on the Shumate hybrid dual-temperature loop (roughly 70,000 gallons per MW per year), against about 1,920 gallons per MW per day on conventional water-cooled chillers with cooling towers, roughly ten times as much. At about 192 gallons per MW per day, a megawatt of Shumate cooling uses less water than a neighborhood coffee shop. That difference is driven by the cooling choice </w:t>
      </w:r>
      <w:proofErr w:type="gramStart"/>
      <w:r>
        <w:rPr>
          <w:color w:val="1A1A1A"/>
        </w:rPr>
        <w:t>alone, and</w:t>
      </w:r>
      <w:proofErr w:type="gramEnd"/>
      <w:r>
        <w:rPr>
          <w:color w:val="1A1A1A"/>
        </w:rPr>
        <w:t xml:space="preserve"> is the evidentiary basis for the standard in Section 6.1. Facility figures follow the PathOne cooling-system matrix; everyday comparators use published nonresidential water-use benchmarks. All are order-of-magnitude planning benchmarks, not site-specific guarantees.</w:t>
      </w:r>
    </w:p>
    <w:p w14:paraId="468C1E75" w14:textId="77777777" w:rsidR="005C41CC" w:rsidRDefault="009A7361">
      <w:pPr>
        <w:keepNext/>
        <w:spacing w:before="150" w:after="50"/>
      </w:pPr>
      <w:proofErr w:type="gramStart"/>
      <w:r>
        <w:rPr>
          <w:b/>
          <w:bCs/>
          <w:color w:val="3F6B4A"/>
          <w:sz w:val="21"/>
          <w:szCs w:val="21"/>
        </w:rPr>
        <w:t>6.3  Water</w:t>
      </w:r>
      <w:proofErr w:type="gramEnd"/>
      <w:r>
        <w:rPr>
          <w:b/>
          <w:bCs/>
          <w:color w:val="3F6B4A"/>
          <w:sz w:val="21"/>
          <w:szCs w:val="21"/>
        </w:rPr>
        <w:t xml:space="preserve"> Study (at application)</w:t>
      </w:r>
    </w:p>
    <w:p w14:paraId="08794A12" w14:textId="77777777" w:rsidR="005C41CC" w:rsidRDefault="009A7361">
      <w:pPr>
        <w:spacing w:after="90" w:line="256" w:lineRule="auto"/>
      </w:pPr>
      <w:r>
        <w:rPr>
          <w:color w:val="1A1A1A"/>
        </w:rPr>
        <w:t>The applicant shall submit a planning-level Water Study by a qualified professional demonstrating that sufficient water is available without undue adverse impact on existing users, wells, aquifers, or watersheds, describing the proposed sources and demand ranges, the cooling technology and efficiency and reuse measures, and contingency approaches for supply interruption or drought.</w:t>
      </w:r>
    </w:p>
    <w:p w14:paraId="301B46AB" w14:textId="77777777" w:rsidR="005C41CC" w:rsidRDefault="009A7361">
      <w:pPr>
        <w:keepNext/>
        <w:spacing w:before="150" w:after="50"/>
      </w:pPr>
      <w:proofErr w:type="gramStart"/>
      <w:r>
        <w:rPr>
          <w:b/>
          <w:bCs/>
          <w:color w:val="3F6B4A"/>
          <w:sz w:val="21"/>
          <w:szCs w:val="21"/>
        </w:rPr>
        <w:t>6.4  Water</w:t>
      </w:r>
      <w:proofErr w:type="gramEnd"/>
      <w:r>
        <w:rPr>
          <w:b/>
          <w:bCs/>
          <w:color w:val="3F6B4A"/>
          <w:sz w:val="21"/>
          <w:szCs w:val="21"/>
        </w:rPr>
        <w:t xml:space="preserve"> Use Agreement (before building permit)</w:t>
      </w:r>
    </w:p>
    <w:p w14:paraId="2172D574" w14:textId="77777777" w:rsidR="005C41CC" w:rsidRDefault="009A7361">
      <w:pPr>
        <w:spacing w:after="90" w:line="256" w:lineRule="auto"/>
      </w:pPr>
      <w:r>
        <w:rPr>
          <w:color w:val="1A1A1A"/>
        </w:rPr>
        <w:t>Before a building permit issues, the applicant shall enter a binding Water Use Agreement addressing, at minimum: tamper-evident telemetered metering; scheduled public reporting; drought and constraint response; documented DNR coordination on permits and well-interference mitigation; a well-monitoring fund and make-whole obligation for impaired private wells within one to two miles; and liquidated damages per 1,000 gallons of unauthorized withdrawal, as a contract remedy not capped by the ordinance-fine limit.</w:t>
      </w:r>
    </w:p>
    <w:p w14:paraId="4D7399FB" w14:textId="77777777" w:rsidR="005C41CC" w:rsidRDefault="009A7361">
      <w:pPr>
        <w:keepNext/>
        <w:spacing w:before="150" w:after="50"/>
      </w:pPr>
      <w:proofErr w:type="gramStart"/>
      <w:r>
        <w:rPr>
          <w:b/>
          <w:bCs/>
          <w:color w:val="3F6B4A"/>
          <w:sz w:val="21"/>
          <w:szCs w:val="21"/>
        </w:rPr>
        <w:t>6.5  Construction</w:t>
      </w:r>
      <w:proofErr w:type="gramEnd"/>
      <w:r>
        <w:rPr>
          <w:b/>
          <w:bCs/>
          <w:color w:val="3F6B4A"/>
          <w:sz w:val="21"/>
          <w:szCs w:val="21"/>
        </w:rPr>
        <w:t xml:space="preserve"> water</w:t>
      </w:r>
    </w:p>
    <w:p w14:paraId="66E72007" w14:textId="77777777" w:rsidR="005C41CC" w:rsidRDefault="009A7361">
      <w:pPr>
        <w:spacing w:after="90" w:line="256" w:lineRule="auto"/>
      </w:pPr>
      <w:r>
        <w:rPr>
          <w:color w:val="1A1A1A"/>
        </w:rPr>
        <w:t>Separately from operations, the applicant shall submit a construction-water plan addressing dewatering limits, neighboring-well monitoring, and make-good obligations, because construction-phase dewatering, not cooling, has drawn down water tables at comparable projects.</w:t>
      </w:r>
    </w:p>
    <w:p w14:paraId="4BC49152"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Susquehanna County, PA Section 713 (adopted); Lycoming County, PA performance-standard framing (model); DeKalb, IL tiered water agreement (governs a built campus); Shumate Engineering cooling-system matrix (hybrid dual-temperature loop).</w:t>
      </w:r>
    </w:p>
    <w:p w14:paraId="4F07DC64" w14:textId="77777777" w:rsidR="005C41CC" w:rsidRDefault="009A7361">
      <w:pPr>
        <w:pStyle w:val="Heading1"/>
        <w:keepNext/>
        <w:pBdr>
          <w:bottom w:val="single" w:sz="6" w:space="3" w:color="9A7B1F"/>
        </w:pBdr>
        <w:spacing w:before="260" w:after="100"/>
      </w:pPr>
      <w:r>
        <w:rPr>
          <w:b/>
          <w:bCs/>
          <w:color w:val="1F2A44"/>
          <w:sz w:val="25"/>
          <w:szCs w:val="25"/>
        </w:rPr>
        <w:t>Article VII. Site Design, Access, and Accessory Uses</w:t>
      </w:r>
    </w:p>
    <w:p w14:paraId="7B9ECDDA" w14:textId="77777777" w:rsidR="005C41CC" w:rsidRDefault="009A7361">
      <w:pPr>
        <w:pStyle w:val="ListParagraph"/>
        <w:numPr>
          <w:ilvl w:val="0"/>
          <w:numId w:val="2"/>
        </w:numPr>
        <w:spacing w:after="60" w:line="252" w:lineRule="auto"/>
      </w:pPr>
      <w:r>
        <w:rPr>
          <w:color w:val="1A1A1A"/>
        </w:rPr>
        <w:t>Sites shall connect by a continuous hard-surfaced connection of sufficient capacity to a County arterial or a state or federal highway, and projects requiring road improvements to meet this standard shall deliver them.</w:t>
      </w:r>
    </w:p>
    <w:p w14:paraId="164C291F" w14:textId="77777777" w:rsidR="005C41CC" w:rsidRDefault="009A7361">
      <w:pPr>
        <w:pStyle w:val="ListParagraph"/>
        <w:numPr>
          <w:ilvl w:val="0"/>
          <w:numId w:val="2"/>
        </w:numPr>
        <w:spacing w:after="60" w:line="252" w:lineRule="auto"/>
      </w:pPr>
      <w:r>
        <w:rPr>
          <w:color w:val="1A1A1A"/>
        </w:rPr>
        <w:t>Vehicular access points shall minimize conflict with through traffic and accommodate emergency and heavy-equipment vehicles.</w:t>
      </w:r>
    </w:p>
    <w:p w14:paraId="02D246BC" w14:textId="77777777" w:rsidR="005C41CC" w:rsidRDefault="009A7361">
      <w:pPr>
        <w:pStyle w:val="ListParagraph"/>
        <w:numPr>
          <w:ilvl w:val="0"/>
          <w:numId w:val="2"/>
        </w:numPr>
        <w:spacing w:after="60" w:line="252" w:lineRule="auto"/>
      </w:pPr>
      <w:r>
        <w:rPr>
          <w:color w:val="1A1A1A"/>
        </w:rPr>
        <w:lastRenderedPageBreak/>
        <w:t>Truck loading, service areas, and utility yards shall be located away from residential frontages and screened from public view.</w:t>
      </w:r>
    </w:p>
    <w:p w14:paraId="57F03DD0" w14:textId="77777777" w:rsidR="005C41CC" w:rsidRDefault="009A7361">
      <w:pPr>
        <w:pStyle w:val="ListParagraph"/>
        <w:numPr>
          <w:ilvl w:val="0"/>
          <w:numId w:val="2"/>
        </w:numPr>
        <w:spacing w:after="60" w:line="252" w:lineRule="auto"/>
      </w:pPr>
      <w:r>
        <w:rPr>
          <w:color w:val="1A1A1A"/>
        </w:rPr>
        <w:t>On-site equipment, including transformers, chillers, coolers, generators, fuel and water storage, and battery energy storage, shall be sited and screened to reduce noise and visual impact and positioned to help achieve the Article V noise limits.</w:t>
      </w:r>
    </w:p>
    <w:p w14:paraId="36803227" w14:textId="77777777" w:rsidR="005C41CC" w:rsidRDefault="009A7361">
      <w:pPr>
        <w:pStyle w:val="ListParagraph"/>
        <w:numPr>
          <w:ilvl w:val="0"/>
          <w:numId w:val="2"/>
        </w:numPr>
        <w:spacing w:after="60" w:line="252" w:lineRule="auto"/>
      </w:pPr>
      <w:r>
        <w:rPr>
          <w:color w:val="1A1A1A"/>
        </w:rPr>
        <w:t>Permitted accessory uses: on-site renewable generation and battery storage, standby generation, substations and switchyards, microgrid infrastructure, water treatment and recycling, and incidental office and maintenance facilities, each subject to this amendment.</w:t>
      </w:r>
    </w:p>
    <w:p w14:paraId="6F10C7A0" w14:textId="77777777" w:rsidR="005C41CC" w:rsidRDefault="009A7361">
      <w:pPr>
        <w:pStyle w:val="Heading1"/>
        <w:keepNext/>
        <w:pBdr>
          <w:bottom w:val="single" w:sz="6" w:space="3" w:color="9A7B1F"/>
        </w:pBdr>
        <w:spacing w:before="260" w:after="100"/>
      </w:pPr>
      <w:r>
        <w:rPr>
          <w:b/>
          <w:bCs/>
          <w:color w:val="1F2A44"/>
          <w:sz w:val="25"/>
          <w:szCs w:val="25"/>
        </w:rPr>
        <w:t>Article VIII. Architectural and Building Design</w:t>
      </w:r>
    </w:p>
    <w:p w14:paraId="71C72D93" w14:textId="77777777" w:rsidR="005C41CC" w:rsidRDefault="009A7361">
      <w:pPr>
        <w:spacing w:after="90" w:line="256" w:lineRule="auto"/>
      </w:pPr>
      <w:r>
        <w:rPr>
          <w:color w:val="1A1A1A"/>
        </w:rPr>
        <w:t>Data center buildings are large and utilitarian by default. These standards soften their mass and help them read as compatible with a rural setting.</w:t>
      </w:r>
    </w:p>
    <w:p w14:paraId="012C4256" w14:textId="77777777" w:rsidR="005C41CC" w:rsidRDefault="009A7361">
      <w:pPr>
        <w:pStyle w:val="ListParagraph"/>
        <w:numPr>
          <w:ilvl w:val="0"/>
          <w:numId w:val="2"/>
        </w:numPr>
        <w:spacing w:after="60" w:line="252" w:lineRule="auto"/>
      </w:pPr>
      <w:r>
        <w:rPr>
          <w:color w:val="1A1A1A"/>
        </w:rPr>
        <w:t>Break up long, blank walls with articulation, material changes, or recesses at regular intervals.</w:t>
      </w:r>
    </w:p>
    <w:p w14:paraId="19F9A04E" w14:textId="77777777" w:rsidR="005C41CC" w:rsidRDefault="009A7361">
      <w:pPr>
        <w:pStyle w:val="ListParagraph"/>
        <w:numPr>
          <w:ilvl w:val="0"/>
          <w:numId w:val="2"/>
        </w:numPr>
        <w:spacing w:after="60" w:line="252" w:lineRule="auto"/>
      </w:pPr>
      <w:r>
        <w:rPr>
          <w:color w:val="1A1A1A"/>
        </w:rPr>
        <w:t>Use muted, non-reflective earth-tone colors and materials that recede into the landscape, rather than high-contrast corporate branding.</w:t>
      </w:r>
    </w:p>
    <w:p w14:paraId="1887999F" w14:textId="77777777" w:rsidR="005C41CC" w:rsidRDefault="009A7361">
      <w:pPr>
        <w:pStyle w:val="ListParagraph"/>
        <w:numPr>
          <w:ilvl w:val="0"/>
          <w:numId w:val="2"/>
        </w:numPr>
        <w:spacing w:after="60" w:line="252" w:lineRule="auto"/>
      </w:pPr>
      <w:r>
        <w:rPr>
          <w:color w:val="1A1A1A"/>
        </w:rPr>
        <w:t>Screen all rooftop and wall-mounted mechanical equipment from view at the property line.</w:t>
      </w:r>
    </w:p>
    <w:p w14:paraId="251D1A1B" w14:textId="77777777" w:rsidR="005C41CC" w:rsidRDefault="009A7361">
      <w:pPr>
        <w:pStyle w:val="ListParagraph"/>
        <w:numPr>
          <w:ilvl w:val="0"/>
          <w:numId w:val="2"/>
        </w:numPr>
        <w:spacing w:after="60" w:line="252" w:lineRule="auto"/>
      </w:pPr>
      <w:r>
        <w:rPr>
          <w:color w:val="1A1A1A"/>
        </w:rPr>
        <w:t xml:space="preserve">Provide consistent architectural treatment across phased or multi-building </w:t>
      </w:r>
      <w:proofErr w:type="gramStart"/>
      <w:r>
        <w:rPr>
          <w:color w:val="1A1A1A"/>
        </w:rPr>
        <w:t>campuses, and</w:t>
      </w:r>
      <w:proofErr w:type="gramEnd"/>
      <w:r>
        <w:rPr>
          <w:color w:val="1A1A1A"/>
        </w:rPr>
        <w:t xml:space="preserve"> minimize reflective surfaces and glare toward roads and neighbors.</w:t>
      </w:r>
    </w:p>
    <w:p w14:paraId="687F3584"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Loudoun County, VA Section 4.06.02 use-specific standards (retrofit-proven on operating facilities).</w:t>
      </w:r>
    </w:p>
    <w:p w14:paraId="7334F7E2" w14:textId="77777777" w:rsidR="005C41CC" w:rsidRDefault="009A7361">
      <w:pPr>
        <w:pStyle w:val="Heading1"/>
        <w:keepNext/>
        <w:pBdr>
          <w:bottom w:val="single" w:sz="6" w:space="3" w:color="9A7B1F"/>
        </w:pBdr>
        <w:spacing w:before="260" w:after="100"/>
      </w:pPr>
      <w:r>
        <w:rPr>
          <w:b/>
          <w:bCs/>
          <w:color w:val="1F2A44"/>
          <w:sz w:val="25"/>
          <w:szCs w:val="25"/>
        </w:rPr>
        <w:t>Article IX. Landscaping, Screening, and Buffers</w:t>
      </w:r>
    </w:p>
    <w:p w14:paraId="5216830D" w14:textId="77777777" w:rsidR="005C41CC" w:rsidRDefault="009A7361">
      <w:pPr>
        <w:pStyle w:val="ListParagraph"/>
        <w:numPr>
          <w:ilvl w:val="0"/>
          <w:numId w:val="2"/>
        </w:numPr>
        <w:spacing w:after="60" w:line="252" w:lineRule="auto"/>
      </w:pPr>
      <w:r>
        <w:rPr>
          <w:color w:val="1A1A1A"/>
        </w:rPr>
        <w:t>Install perimeter buffers meeting the County's buffer standards, plus a landscaped yard of at least 20 feet along public street frontage except at driveways.</w:t>
      </w:r>
    </w:p>
    <w:p w14:paraId="44AE5D91" w14:textId="737F223C" w:rsidR="005C41CC" w:rsidRDefault="009A7361">
      <w:pPr>
        <w:pStyle w:val="ListParagraph"/>
        <w:numPr>
          <w:ilvl w:val="0"/>
          <w:numId w:val="2"/>
        </w:numPr>
        <w:spacing w:after="60" w:line="252" w:lineRule="auto"/>
      </w:pPr>
      <w:r>
        <w:rPr>
          <w:color w:val="1A1A1A"/>
        </w:rPr>
        <w:t xml:space="preserve">Use a mix of evergreen and deciduous plantings, sized to provide meaningful screening within a defined establishment period, emphasizing species native and hardy to northwest </w:t>
      </w:r>
      <w:r w:rsidR="00533D94">
        <w:rPr>
          <w:color w:val="1A1A1A"/>
        </w:rPr>
        <w:t>[Insert Your State]</w:t>
      </w:r>
      <w:r>
        <w:rPr>
          <w:color w:val="1A1A1A"/>
        </w:rPr>
        <w:t>.</w:t>
      </w:r>
    </w:p>
    <w:p w14:paraId="70486754" w14:textId="77777777" w:rsidR="005C41CC" w:rsidRDefault="009A7361">
      <w:pPr>
        <w:pStyle w:val="ListParagraph"/>
        <w:numPr>
          <w:ilvl w:val="0"/>
          <w:numId w:val="2"/>
        </w:numPr>
        <w:spacing w:after="60" w:line="252" w:lineRule="auto"/>
      </w:pPr>
      <w:r>
        <w:rPr>
          <w:color w:val="1A1A1A"/>
        </w:rPr>
        <w:t>Provide a landscape maintenance and replacement obligation so screening is sustained over the life of the facility.</w:t>
      </w:r>
    </w:p>
    <w:p w14:paraId="24B0F1AF" w14:textId="77777777" w:rsidR="005C41CC" w:rsidRDefault="009A7361">
      <w:pPr>
        <w:pStyle w:val="ListParagraph"/>
        <w:numPr>
          <w:ilvl w:val="0"/>
          <w:numId w:val="2"/>
        </w:numPr>
        <w:spacing w:after="60" w:line="252" w:lineRule="auto"/>
      </w:pPr>
      <w:r>
        <w:rPr>
          <w:color w:val="1A1A1A"/>
        </w:rPr>
        <w:t>Where berms are used, integrate them with plantings for combined visual and acoustic benefit, and credit them toward the Article V noise limits.</w:t>
      </w:r>
    </w:p>
    <w:p w14:paraId="33349D44" w14:textId="77777777" w:rsidR="005C41CC" w:rsidRDefault="009A7361">
      <w:pPr>
        <w:pStyle w:val="Heading1"/>
        <w:keepNext/>
        <w:pBdr>
          <w:bottom w:val="single" w:sz="6" w:space="3" w:color="9A7B1F"/>
        </w:pBdr>
        <w:spacing w:before="260" w:after="100"/>
      </w:pPr>
      <w:r>
        <w:rPr>
          <w:b/>
          <w:bCs/>
          <w:color w:val="1F2A44"/>
          <w:sz w:val="25"/>
          <w:szCs w:val="25"/>
        </w:rPr>
        <w:t>Article X. Lighting (Dark-Sky Standards)</w:t>
      </w:r>
    </w:p>
    <w:p w14:paraId="0482199E" w14:textId="39EF8696" w:rsidR="005C41CC" w:rsidRDefault="009A7361">
      <w:pPr>
        <w:spacing w:after="90" w:line="256" w:lineRule="auto"/>
      </w:pPr>
      <w:r>
        <w:rPr>
          <w:color w:val="1A1A1A"/>
        </w:rPr>
        <w:t xml:space="preserve">Rural </w:t>
      </w:r>
      <w:r w:rsidR="00533D94">
        <w:rPr>
          <w:color w:val="1A1A1A"/>
        </w:rPr>
        <w:t>[Insert Your County]</w:t>
      </w:r>
      <w:r>
        <w:rPr>
          <w:color w:val="1A1A1A"/>
        </w:rPr>
        <w:t xml:space="preserve"> has genuinely dark skies. Lighting follows current </w:t>
      </w:r>
      <w:proofErr w:type="spellStart"/>
      <w:r>
        <w:rPr>
          <w:color w:val="1A1A1A"/>
        </w:rPr>
        <w:t>DarkSky</w:t>
      </w:r>
      <w:proofErr w:type="spellEnd"/>
      <w:r>
        <w:rPr>
          <w:color w:val="1A1A1A"/>
        </w:rPr>
        <w:t xml:space="preserve"> International guidance.</w:t>
      </w:r>
    </w:p>
    <w:p w14:paraId="0E1D62B2" w14:textId="77777777" w:rsidR="005C41CC" w:rsidRDefault="009A7361">
      <w:pPr>
        <w:spacing w:after="70" w:line="254" w:lineRule="auto"/>
        <w:ind w:left="460" w:hanging="300"/>
      </w:pPr>
      <w:r>
        <w:rPr>
          <w:b/>
          <w:bCs/>
          <w:color w:val="1F2A44"/>
        </w:rPr>
        <w:t xml:space="preserve">(a)  </w:t>
      </w:r>
      <w:r>
        <w:rPr>
          <w:color w:val="1A1A1A"/>
        </w:rPr>
        <w:t>Fixtures: full-cutoff, fully shielded, and downward-facing only.</w:t>
      </w:r>
    </w:p>
    <w:p w14:paraId="18600528" w14:textId="77777777" w:rsidR="005C41CC" w:rsidRDefault="009A7361">
      <w:pPr>
        <w:spacing w:after="70" w:line="254" w:lineRule="auto"/>
        <w:ind w:left="460" w:hanging="300"/>
      </w:pPr>
      <w:r>
        <w:rPr>
          <w:b/>
          <w:bCs/>
          <w:color w:val="1F2A44"/>
        </w:rPr>
        <w:t xml:space="preserve">(b)  </w:t>
      </w:r>
      <w:r>
        <w:rPr>
          <w:color w:val="1A1A1A"/>
        </w:rPr>
        <w:t>Light trespass at the property line: no more than 0.5 foot-candles.</w:t>
      </w:r>
    </w:p>
    <w:p w14:paraId="36B295BD" w14:textId="77777777" w:rsidR="005C41CC" w:rsidRDefault="009A7361">
      <w:pPr>
        <w:spacing w:after="70" w:line="254" w:lineRule="auto"/>
        <w:ind w:left="460" w:hanging="300"/>
      </w:pPr>
      <w:r>
        <w:rPr>
          <w:b/>
          <w:bCs/>
          <w:color w:val="1F2A44"/>
        </w:rPr>
        <w:t xml:space="preserve">(c)  </w:t>
      </w:r>
      <w:proofErr w:type="spellStart"/>
      <w:r>
        <w:rPr>
          <w:color w:val="1A1A1A"/>
        </w:rPr>
        <w:t>Uplight</w:t>
      </w:r>
      <w:proofErr w:type="spellEnd"/>
      <w:r>
        <w:rPr>
          <w:color w:val="1A1A1A"/>
        </w:rPr>
        <w:t>: none, with no light emitted above horizontal.</w:t>
      </w:r>
    </w:p>
    <w:p w14:paraId="7C275510" w14:textId="77777777" w:rsidR="005C41CC" w:rsidRDefault="009A7361">
      <w:pPr>
        <w:spacing w:after="70" w:line="254" w:lineRule="auto"/>
        <w:ind w:left="460" w:hanging="300"/>
      </w:pPr>
      <w:r>
        <w:rPr>
          <w:b/>
          <w:bCs/>
          <w:color w:val="1F2A44"/>
        </w:rPr>
        <w:t xml:space="preserve">(d)  </w:t>
      </w:r>
      <w:r>
        <w:rPr>
          <w:color w:val="1A1A1A"/>
        </w:rPr>
        <w:t>Color temperature: 3000K or warmer.</w:t>
      </w:r>
    </w:p>
    <w:p w14:paraId="0BF74C1D" w14:textId="77777777" w:rsidR="005C41CC" w:rsidRDefault="009A7361">
      <w:pPr>
        <w:spacing w:after="70" w:line="254" w:lineRule="auto"/>
        <w:ind w:left="460" w:hanging="300"/>
      </w:pPr>
      <w:r>
        <w:rPr>
          <w:b/>
          <w:bCs/>
          <w:color w:val="1F2A44"/>
        </w:rPr>
        <w:t xml:space="preserve">(e)  </w:t>
      </w:r>
      <w:r>
        <w:rPr>
          <w:color w:val="1A1A1A"/>
        </w:rPr>
        <w:t>Controls: motion-activation, dimming, or curfews for non-security lighting; a lighting plan is required at submittal and field-verified after construction.</w:t>
      </w:r>
    </w:p>
    <w:p w14:paraId="292FAD68" w14:textId="77777777" w:rsidR="005C41CC" w:rsidRDefault="009A7361">
      <w:pPr>
        <w:spacing w:before="40" w:after="120" w:line="250" w:lineRule="auto"/>
        <w:ind w:left="260"/>
      </w:pPr>
      <w:r>
        <w:rPr>
          <w:b/>
          <w:bCs/>
          <w:i/>
          <w:iCs/>
          <w:color w:val="555555"/>
          <w:sz w:val="18"/>
          <w:szCs w:val="18"/>
        </w:rPr>
        <w:t xml:space="preserve">Precedent. </w:t>
      </w:r>
      <w:proofErr w:type="spellStart"/>
      <w:r>
        <w:rPr>
          <w:i/>
          <w:iCs/>
          <w:color w:val="555555"/>
          <w:sz w:val="18"/>
          <w:szCs w:val="18"/>
        </w:rPr>
        <w:t>DarkSky</w:t>
      </w:r>
      <w:proofErr w:type="spellEnd"/>
      <w:r>
        <w:rPr>
          <w:i/>
          <w:iCs/>
          <w:color w:val="555555"/>
          <w:sz w:val="18"/>
          <w:szCs w:val="18"/>
        </w:rPr>
        <w:t xml:space="preserve"> International 2026 guidance; Linn County EU-3 lighting-plan requirement (adopted).</w:t>
      </w:r>
    </w:p>
    <w:p w14:paraId="251C4374" w14:textId="77777777" w:rsidR="005C41CC" w:rsidRDefault="009A7361">
      <w:pPr>
        <w:pStyle w:val="Heading1"/>
        <w:keepNext/>
        <w:pBdr>
          <w:bottom w:val="single" w:sz="6" w:space="3" w:color="9A7B1F"/>
        </w:pBdr>
        <w:spacing w:before="260" w:after="100"/>
      </w:pPr>
      <w:r>
        <w:rPr>
          <w:b/>
          <w:bCs/>
          <w:color w:val="1F2A44"/>
          <w:sz w:val="25"/>
          <w:szCs w:val="25"/>
        </w:rPr>
        <w:t>Article XI. Power, Generation, and Battery Storage</w:t>
      </w:r>
    </w:p>
    <w:p w14:paraId="4854765B" w14:textId="1D7357B7" w:rsidR="005C41CC" w:rsidRDefault="009A7361">
      <w:pPr>
        <w:spacing w:after="90" w:line="256" w:lineRule="auto"/>
      </w:pPr>
      <w:r>
        <w:rPr>
          <w:color w:val="1A1A1A"/>
        </w:rPr>
        <w:t xml:space="preserve">Electric rates and interconnection are regulated by the </w:t>
      </w:r>
      <w:r w:rsidR="00533D94">
        <w:rPr>
          <w:color w:val="1A1A1A"/>
        </w:rPr>
        <w:t>[Insert Your State]</w:t>
      </w:r>
      <w:r>
        <w:rPr>
          <w:color w:val="1A1A1A"/>
        </w:rPr>
        <w:t xml:space="preserve"> Utilities Commission and the serving utility, not the County. The County's authority is over the land-use aspects of on-site energy infrastructure and the information required at application.</w:t>
      </w:r>
    </w:p>
    <w:p w14:paraId="6B4D6A41" w14:textId="77777777" w:rsidR="005C41CC" w:rsidRDefault="009A7361">
      <w:pPr>
        <w:spacing w:after="70" w:line="254" w:lineRule="auto"/>
        <w:ind w:left="460" w:hanging="300"/>
      </w:pPr>
      <w:r>
        <w:rPr>
          <w:b/>
          <w:bCs/>
          <w:color w:val="1F2A44"/>
        </w:rPr>
        <w:lastRenderedPageBreak/>
        <w:t xml:space="preserve">(a)  </w:t>
      </w:r>
      <w:r>
        <w:rPr>
          <w:color w:val="1A1A1A"/>
        </w:rPr>
        <w:t>Utility verification. Written verification from the serving power provider that the maximum planned load has been calculated and that supply and infrastructure are adequate and developer-funded, before a building permit, with disclosure of planned line, interconnection, and substation locations.</w:t>
      </w:r>
    </w:p>
    <w:p w14:paraId="13F240B8" w14:textId="77777777" w:rsidR="005C41CC" w:rsidRDefault="009A7361">
      <w:pPr>
        <w:spacing w:after="70" w:line="254" w:lineRule="auto"/>
        <w:ind w:left="460" w:hanging="300"/>
      </w:pPr>
      <w:r>
        <w:rPr>
          <w:b/>
          <w:bCs/>
          <w:color w:val="1F2A44"/>
        </w:rPr>
        <w:t xml:space="preserve">(b)  </w:t>
      </w:r>
      <w:r>
        <w:rPr>
          <w:color w:val="1A1A1A"/>
        </w:rPr>
        <w:t>Backup generation. A backup-power plan covering fuel source, number and size of generators, testing frequency and duration, emission and noise controls, and fuel storage and delivery, demonstrating compliance with all applicable permits. Testing is subject to the Article V windows and may be barred on declared poor-air-quality days.</w:t>
      </w:r>
    </w:p>
    <w:p w14:paraId="4FA9851F" w14:textId="00AA9C79" w:rsidR="005C41CC" w:rsidRDefault="009A7361">
      <w:pPr>
        <w:spacing w:after="70" w:line="254" w:lineRule="auto"/>
        <w:ind w:left="460" w:hanging="300"/>
      </w:pPr>
      <w:r>
        <w:rPr>
          <w:b/>
          <w:bCs/>
          <w:color w:val="1F2A44"/>
        </w:rPr>
        <w:t xml:space="preserve">(c)  </w:t>
      </w:r>
      <w:r>
        <w:rPr>
          <w:color w:val="1A1A1A"/>
        </w:rPr>
        <w:t xml:space="preserve">Battery energy storage. Compliance with national fire standards (NFPA 855 and 1142); a separate 150 percent removal and disposal bond posted before operation; developer-funded training and equipment for the </w:t>
      </w:r>
      <w:r w:rsidR="00533D94">
        <w:rPr>
          <w:color w:val="1A1A1A"/>
        </w:rPr>
        <w:t>[Insert Your County]</w:t>
      </w:r>
      <w:r>
        <w:rPr>
          <w:color w:val="1A1A1A"/>
        </w:rPr>
        <w:t xml:space="preserve"> volunteer fire service, with a certificate of occupancy withheld until the Fire Marshal certifies readiness, and annual re-certification.</w:t>
      </w:r>
    </w:p>
    <w:p w14:paraId="3564CB88"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Linn County EU-3 utility verification (adopted); Susquehanna County backup-generation and rate-protection provisions (adopted); St. Louis Armory bad-air-day restriction (adopted condition).</w:t>
      </w:r>
    </w:p>
    <w:p w14:paraId="76E0EF01" w14:textId="77777777" w:rsidR="005C41CC" w:rsidRDefault="009A7361">
      <w:pPr>
        <w:pStyle w:val="Heading1"/>
        <w:keepNext/>
        <w:pBdr>
          <w:bottom w:val="single" w:sz="6" w:space="3" w:color="9A7B1F"/>
        </w:pBdr>
        <w:spacing w:before="260" w:after="100"/>
      </w:pPr>
      <w:r>
        <w:rPr>
          <w:b/>
          <w:bCs/>
          <w:color w:val="1F2A44"/>
          <w:sz w:val="25"/>
          <w:szCs w:val="25"/>
        </w:rPr>
        <w:t>Article XII. Stormwater and Environmental Protection</w:t>
      </w:r>
    </w:p>
    <w:p w14:paraId="2E3DE7F5" w14:textId="77777777" w:rsidR="005C41CC" w:rsidRDefault="009A7361">
      <w:pPr>
        <w:pStyle w:val="ListParagraph"/>
        <w:numPr>
          <w:ilvl w:val="0"/>
          <w:numId w:val="2"/>
        </w:numPr>
        <w:spacing w:after="60" w:line="252" w:lineRule="auto"/>
      </w:pPr>
      <w:r>
        <w:rPr>
          <w:color w:val="1A1A1A"/>
        </w:rPr>
        <w:t>Submit a stormwater management plan, a stormwater pollution prevention plan (SWPPP), and an erosion and sediment control plan at site-plan submittal.</w:t>
      </w:r>
    </w:p>
    <w:p w14:paraId="17F87FBE" w14:textId="77777777" w:rsidR="005C41CC" w:rsidRDefault="009A7361">
      <w:pPr>
        <w:pStyle w:val="ListParagraph"/>
        <w:numPr>
          <w:ilvl w:val="0"/>
          <w:numId w:val="2"/>
        </w:numPr>
        <w:spacing w:after="60" w:line="252" w:lineRule="auto"/>
      </w:pPr>
      <w:r>
        <w:rPr>
          <w:color w:val="1A1A1A"/>
        </w:rPr>
        <w:t>Manage the large impervious footprint so that post-development runoff rates and quality do not degrade downstream drainage, tile systems, or surface waters.</w:t>
      </w:r>
    </w:p>
    <w:p w14:paraId="3349586B" w14:textId="77777777" w:rsidR="005C41CC" w:rsidRDefault="009A7361">
      <w:pPr>
        <w:pStyle w:val="ListParagraph"/>
        <w:numPr>
          <w:ilvl w:val="0"/>
          <w:numId w:val="2"/>
        </w:numPr>
        <w:spacing w:after="60" w:line="252" w:lineRule="auto"/>
      </w:pPr>
      <w:r>
        <w:rPr>
          <w:color w:val="1A1A1A"/>
        </w:rPr>
        <w:t>Submit a construction and operational waste-management plan addressing volumes, recycling and salvage, disposal, on-site separation, and documentation of diversion.</w:t>
      </w:r>
    </w:p>
    <w:p w14:paraId="1FD1C3C9" w14:textId="77777777" w:rsidR="005C41CC" w:rsidRDefault="009A7361">
      <w:pPr>
        <w:pStyle w:val="ListParagraph"/>
        <w:numPr>
          <w:ilvl w:val="0"/>
          <w:numId w:val="2"/>
        </w:numPr>
        <w:spacing w:after="60" w:line="252" w:lineRule="auto"/>
      </w:pPr>
      <w:r>
        <w:rPr>
          <w:color w:val="1A1A1A"/>
        </w:rPr>
        <w:t xml:space="preserve">Protect existing agricultural drainage tile and County drainage </w:t>
      </w:r>
      <w:proofErr w:type="gramStart"/>
      <w:r>
        <w:rPr>
          <w:color w:val="1A1A1A"/>
        </w:rPr>
        <w:t>infrastructure, and</w:t>
      </w:r>
      <w:proofErr w:type="gramEnd"/>
      <w:r>
        <w:rPr>
          <w:color w:val="1A1A1A"/>
        </w:rPr>
        <w:t xml:space="preserve"> coordinate with the applicable drainage district.</w:t>
      </w:r>
    </w:p>
    <w:p w14:paraId="4D50B15D" w14:textId="77777777" w:rsidR="005C41CC" w:rsidRDefault="009A7361">
      <w:pPr>
        <w:pStyle w:val="Heading1"/>
        <w:keepNext/>
        <w:pBdr>
          <w:bottom w:val="single" w:sz="6" w:space="3" w:color="9A7B1F"/>
        </w:pBdr>
        <w:spacing w:before="260" w:after="100"/>
      </w:pPr>
      <w:r>
        <w:rPr>
          <w:b/>
          <w:bCs/>
          <w:color w:val="1F2A44"/>
          <w:sz w:val="25"/>
          <w:szCs w:val="25"/>
        </w:rPr>
        <w:t>Article XIII. Roads and Public Infrastructure Protection</w:t>
      </w:r>
    </w:p>
    <w:p w14:paraId="2BB1113B" w14:textId="77777777" w:rsidR="005C41CC" w:rsidRDefault="009A7361">
      <w:pPr>
        <w:spacing w:after="90" w:line="256" w:lineRule="auto"/>
      </w:pPr>
      <w:r>
        <w:rPr>
          <w:color w:val="1A1A1A"/>
        </w:rPr>
        <w:t>Construction traffic can quickly damage rural County roads and bridges. These provisions place that wear on the developer, not the County.</w:t>
      </w:r>
    </w:p>
    <w:p w14:paraId="42EED31C" w14:textId="77777777" w:rsidR="005C41CC" w:rsidRDefault="009A7361">
      <w:pPr>
        <w:pStyle w:val="ListParagraph"/>
        <w:numPr>
          <w:ilvl w:val="0"/>
          <w:numId w:val="2"/>
        </w:numPr>
        <w:spacing w:after="60" w:line="252" w:lineRule="auto"/>
      </w:pPr>
      <w:r>
        <w:rPr>
          <w:color w:val="1A1A1A"/>
        </w:rPr>
        <w:t>Identify all haul routes and applicable weight and size permits before construction.</w:t>
      </w:r>
    </w:p>
    <w:p w14:paraId="5F25A85F" w14:textId="77777777" w:rsidR="005C41CC" w:rsidRDefault="009A7361">
      <w:pPr>
        <w:pStyle w:val="ListParagraph"/>
        <w:numPr>
          <w:ilvl w:val="0"/>
          <w:numId w:val="2"/>
        </w:numPr>
        <w:spacing w:after="60" w:line="252" w:lineRule="auto"/>
      </w:pPr>
      <w:r>
        <w:rPr>
          <w:color w:val="1A1A1A"/>
        </w:rPr>
        <w:t>Conduct a pre-construction roadway conditions survey with the County Secondary Roads Department to establish a baseline.</w:t>
      </w:r>
    </w:p>
    <w:p w14:paraId="42B91E20" w14:textId="77777777" w:rsidR="005C41CC" w:rsidRDefault="009A7361">
      <w:pPr>
        <w:pStyle w:val="ListParagraph"/>
        <w:numPr>
          <w:ilvl w:val="0"/>
          <w:numId w:val="2"/>
        </w:numPr>
        <w:spacing w:after="60" w:line="252" w:lineRule="auto"/>
      </w:pPr>
      <w:r>
        <w:rPr>
          <w:color w:val="1A1A1A"/>
        </w:rPr>
        <w:t>Enter a Road Use Agreement assigning responsibility for maintenance, dust control, and repair, backed by financial assurance.</w:t>
      </w:r>
    </w:p>
    <w:p w14:paraId="52C594C1" w14:textId="77777777" w:rsidR="005C41CC" w:rsidRDefault="009A7361">
      <w:pPr>
        <w:pStyle w:val="ListParagraph"/>
        <w:numPr>
          <w:ilvl w:val="0"/>
          <w:numId w:val="2"/>
        </w:numPr>
        <w:spacing w:after="60" w:line="252" w:lineRule="auto"/>
      </w:pPr>
      <w:r>
        <w:rPr>
          <w:color w:val="1A1A1A"/>
        </w:rPr>
        <w:t>Conduct a post-construction survey and restore roads to pre-construction condition, and repair damage to public drainage systems within 72 hours of discovery.</w:t>
      </w:r>
    </w:p>
    <w:p w14:paraId="00E895DF" w14:textId="77777777" w:rsidR="005C41CC" w:rsidRDefault="009A7361">
      <w:pPr>
        <w:pStyle w:val="Heading1"/>
        <w:keepNext/>
        <w:pBdr>
          <w:bottom w:val="single" w:sz="6" w:space="3" w:color="9A7B1F"/>
        </w:pBdr>
        <w:spacing w:before="260" w:after="100"/>
      </w:pPr>
      <w:r>
        <w:rPr>
          <w:b/>
          <w:bCs/>
          <w:color w:val="1F2A44"/>
          <w:sz w:val="25"/>
          <w:szCs w:val="25"/>
        </w:rPr>
        <w:t>Article XIV. Emergency Response and Safety</w:t>
      </w:r>
    </w:p>
    <w:p w14:paraId="75CA32BF" w14:textId="77777777" w:rsidR="005C41CC" w:rsidRDefault="009A7361">
      <w:pPr>
        <w:spacing w:after="90" w:line="256" w:lineRule="auto"/>
      </w:pPr>
      <w:r>
        <w:rPr>
          <w:color w:val="1A1A1A"/>
        </w:rPr>
        <w:t>The applicant shall submit an Emergency Response Plan developed with local first responders and County Emergency Management and Public Health, before any ground disturbance, covering:</w:t>
      </w:r>
    </w:p>
    <w:p w14:paraId="6909C611" w14:textId="77777777" w:rsidR="005C41CC" w:rsidRDefault="009A7361">
      <w:pPr>
        <w:pStyle w:val="ListParagraph"/>
        <w:numPr>
          <w:ilvl w:val="0"/>
          <w:numId w:val="2"/>
        </w:numPr>
        <w:spacing w:after="60" w:line="252" w:lineRule="auto"/>
      </w:pPr>
      <w:r>
        <w:rPr>
          <w:color w:val="1A1A1A"/>
        </w:rPr>
        <w:t>Response procedures and responsible facility representatives for severe weather, fire, security incidents, capacity and transmission events, environmental and chemical releases, and medical emergencies.</w:t>
      </w:r>
    </w:p>
    <w:p w14:paraId="37006925" w14:textId="77777777" w:rsidR="005C41CC" w:rsidRDefault="009A7361">
      <w:pPr>
        <w:pStyle w:val="ListParagraph"/>
        <w:numPr>
          <w:ilvl w:val="0"/>
          <w:numId w:val="2"/>
        </w:numPr>
        <w:spacing w:after="60" w:line="252" w:lineRule="auto"/>
      </w:pPr>
      <w:r>
        <w:rPr>
          <w:color w:val="1A1A1A"/>
        </w:rPr>
        <w:t>Site evacuation, designated egress routes, and emergency staging areas.</w:t>
      </w:r>
    </w:p>
    <w:p w14:paraId="25CE8AA8" w14:textId="77777777" w:rsidR="005C41CC" w:rsidRDefault="009A7361">
      <w:pPr>
        <w:pStyle w:val="ListParagraph"/>
        <w:numPr>
          <w:ilvl w:val="0"/>
          <w:numId w:val="2"/>
        </w:numPr>
        <w:spacing w:after="60" w:line="252" w:lineRule="auto"/>
      </w:pPr>
      <w:r>
        <w:rPr>
          <w:color w:val="1A1A1A"/>
        </w:rPr>
        <w:t>A stand-alone battery-energy-storage safety section addressing thermal runaway, suppression, and isolation where battery storage is present.</w:t>
      </w:r>
    </w:p>
    <w:p w14:paraId="7FAA1D2E" w14:textId="219B6777" w:rsidR="005C41CC" w:rsidRDefault="009A7361">
      <w:pPr>
        <w:pStyle w:val="ListParagraph"/>
        <w:numPr>
          <w:ilvl w:val="0"/>
          <w:numId w:val="2"/>
        </w:numPr>
        <w:spacing w:after="60" w:line="252" w:lineRule="auto"/>
      </w:pPr>
      <w:r>
        <w:rPr>
          <w:color w:val="1A1A1A"/>
        </w:rPr>
        <w:t xml:space="preserve">Fuel and hazardous-material storage and spill response. Security-sensitive details may be redacted consistent with </w:t>
      </w:r>
      <w:r w:rsidR="00533D94">
        <w:rPr>
          <w:color w:val="1A1A1A"/>
        </w:rPr>
        <w:t>[Insert Your State]</w:t>
      </w:r>
      <w:r>
        <w:rPr>
          <w:color w:val="1A1A1A"/>
        </w:rPr>
        <w:t xml:space="preserve"> Code, subject to County Attorney review.</w:t>
      </w:r>
    </w:p>
    <w:p w14:paraId="3C2E58DC" w14:textId="77777777" w:rsidR="005C41CC" w:rsidRDefault="009A7361">
      <w:pPr>
        <w:pStyle w:val="Heading1"/>
        <w:keepNext/>
        <w:pBdr>
          <w:bottom w:val="single" w:sz="6" w:space="3" w:color="9A7B1F"/>
        </w:pBdr>
        <w:spacing w:before="260" w:after="100"/>
      </w:pPr>
      <w:r>
        <w:rPr>
          <w:b/>
          <w:bCs/>
          <w:color w:val="1F2A44"/>
          <w:sz w:val="25"/>
          <w:szCs w:val="25"/>
        </w:rPr>
        <w:lastRenderedPageBreak/>
        <w:t>Article XV. Decommissioning and Financial Assurance</w:t>
      </w:r>
    </w:p>
    <w:p w14:paraId="5913C02B" w14:textId="77777777" w:rsidR="005C41CC" w:rsidRDefault="009A7361">
      <w:pPr>
        <w:spacing w:after="90" w:line="256" w:lineRule="auto"/>
      </w:pPr>
      <w:r>
        <w:rPr>
          <w:color w:val="1A1A1A"/>
        </w:rPr>
        <w:t>A data center building can reach the end of its useful life in as little as 15 to 20 years. Without an up-front plan and secured funding, an obsolete facility becomes the County's problem.</w:t>
      </w:r>
    </w:p>
    <w:p w14:paraId="65C02010" w14:textId="77777777" w:rsidR="005C41CC" w:rsidRDefault="009A7361">
      <w:pPr>
        <w:spacing w:after="70" w:line="254" w:lineRule="auto"/>
        <w:ind w:left="460" w:hanging="300"/>
      </w:pPr>
      <w:r>
        <w:rPr>
          <w:b/>
          <w:bCs/>
          <w:color w:val="1F2A44"/>
        </w:rPr>
        <w:t xml:space="preserve">(a)  </w:t>
      </w:r>
      <w:r>
        <w:rPr>
          <w:color w:val="1A1A1A"/>
        </w:rPr>
        <w:t>Decommissioning plan. Before construction, a decommissioning plan by a licensed professional engineer describing how the facility will be removed and the site restored if operations cease, with estimated removal and restoration costs, a timeline, disposal and recycling of equipment including batteries, and the intended end state of the land.</w:t>
      </w:r>
    </w:p>
    <w:p w14:paraId="169AFBFA" w14:textId="77777777" w:rsidR="005C41CC" w:rsidRDefault="009A7361">
      <w:pPr>
        <w:spacing w:after="70" w:line="254" w:lineRule="auto"/>
        <w:ind w:left="460" w:hanging="300"/>
      </w:pPr>
      <w:r>
        <w:rPr>
          <w:b/>
          <w:bCs/>
          <w:color w:val="1F2A44"/>
        </w:rPr>
        <w:t xml:space="preserve">(b)  </w:t>
      </w:r>
      <w:r>
        <w:rPr>
          <w:color w:val="1A1A1A"/>
        </w:rPr>
        <w:t>Trigger. Cessation of operations for a continuous 365-day period initiates a cure period, then removal.</w:t>
      </w:r>
    </w:p>
    <w:p w14:paraId="52C16A74" w14:textId="77777777" w:rsidR="005C41CC" w:rsidRDefault="009A7361">
      <w:pPr>
        <w:spacing w:after="70" w:line="254" w:lineRule="auto"/>
        <w:ind w:left="460" w:hanging="300"/>
      </w:pPr>
      <w:r>
        <w:rPr>
          <w:b/>
          <w:bCs/>
          <w:color w:val="1F2A44"/>
        </w:rPr>
        <w:t xml:space="preserve">(c)  </w:t>
      </w:r>
      <w:r>
        <w:rPr>
          <w:color w:val="1A1A1A"/>
        </w:rPr>
        <w:t>Financial assurance. Security sufficient to cover estimated net decommissioning cost, recommended at net cost plus 10 percent, staged 25 percent before building permit, 50 percent by year 5, and 100 percent by year 10, with an annual construction-cost (ENR) escalator, re-estimated every five years, with a change-of-control trigger, excluding speculative salvage value, and favoring adaptive reuse over automatic demolition.</w:t>
      </w:r>
    </w:p>
    <w:p w14:paraId="611DCCAA"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Susquehanna County, PA net-cost-plus-10-percent bond (adopted); Lycoming County, PA staging and escalator framing (model); the County's own solar-ordinance security formula.</w:t>
      </w:r>
    </w:p>
    <w:p w14:paraId="4F417E82" w14:textId="77777777" w:rsidR="005C41CC" w:rsidRDefault="009A7361">
      <w:pPr>
        <w:pStyle w:val="Heading1"/>
        <w:keepNext/>
        <w:pBdr>
          <w:bottom w:val="single" w:sz="6" w:space="3" w:color="9A7B1F"/>
        </w:pBdr>
        <w:spacing w:before="260" w:after="100"/>
      </w:pPr>
      <w:r>
        <w:rPr>
          <w:b/>
          <w:bCs/>
          <w:color w:val="1F2A44"/>
          <w:sz w:val="25"/>
          <w:szCs w:val="25"/>
        </w:rPr>
        <w:t>Article XVI. Community and Economic Benefit</w:t>
      </w:r>
    </w:p>
    <w:p w14:paraId="1E9F1885" w14:textId="77135AAE" w:rsidR="005C41CC" w:rsidRDefault="009A7361">
      <w:pPr>
        <w:spacing w:after="90" w:line="256" w:lineRule="auto"/>
      </w:pPr>
      <w:r>
        <w:rPr>
          <w:color w:val="1A1A1A"/>
        </w:rPr>
        <w:t xml:space="preserve">Because a facility of this scale falls below </w:t>
      </w:r>
      <w:r w:rsidR="00533D94">
        <w:rPr>
          <w:color w:val="1A1A1A"/>
        </w:rPr>
        <w:t>[Insert Your State]</w:t>
      </w:r>
      <w:r>
        <w:rPr>
          <w:color w:val="1A1A1A"/>
        </w:rPr>
        <w:t>'s data-center exemption threshold, it pays full local property tax on land, building, and equipment. The County's leverage is therefore not a tax break to give away, but a benefit package to require and secure.</w:t>
      </w:r>
    </w:p>
    <w:p w14:paraId="587C713E" w14:textId="77777777" w:rsidR="005C41CC" w:rsidRDefault="009A7361">
      <w:pPr>
        <w:pStyle w:val="ListParagraph"/>
        <w:numPr>
          <w:ilvl w:val="0"/>
          <w:numId w:val="2"/>
        </w:numPr>
        <w:spacing w:after="60" w:line="252" w:lineRule="auto"/>
      </w:pPr>
      <w:r>
        <w:rPr>
          <w:color w:val="1A1A1A"/>
        </w:rPr>
        <w:t>Require an Economic Development Agreement with the County at or before rezoning, approved by the Board: an upfront contribution plus a modest escalating annual payment, scaled to the actual project.</w:t>
      </w:r>
    </w:p>
    <w:p w14:paraId="391149F1" w14:textId="77777777" w:rsidR="005C41CC" w:rsidRDefault="009A7361">
      <w:pPr>
        <w:pStyle w:val="ListParagraph"/>
        <w:numPr>
          <w:ilvl w:val="0"/>
          <w:numId w:val="2"/>
        </w:numPr>
        <w:spacing w:after="60" w:line="252" w:lineRule="auto"/>
      </w:pPr>
      <w:r>
        <w:rPr>
          <w:color w:val="1A1A1A"/>
        </w:rPr>
        <w:t>Provide a Community Betterment Fund supporting public infrastructure, services, environmental protection, or workforce development.</w:t>
      </w:r>
    </w:p>
    <w:p w14:paraId="674E6409" w14:textId="77777777" w:rsidR="005C41CC" w:rsidRDefault="009A7361">
      <w:pPr>
        <w:pStyle w:val="ListParagraph"/>
        <w:numPr>
          <w:ilvl w:val="0"/>
          <w:numId w:val="2"/>
        </w:numPr>
        <w:spacing w:after="60" w:line="252" w:lineRule="auto"/>
      </w:pPr>
      <w:r>
        <w:rPr>
          <w:color w:val="1A1A1A"/>
        </w:rPr>
        <w:t>Consider a Property Value Protection Plan addressing impacts to nearby residential property values.</w:t>
      </w:r>
    </w:p>
    <w:p w14:paraId="4560A408" w14:textId="77777777" w:rsidR="005C41CC" w:rsidRDefault="009A7361">
      <w:pPr>
        <w:pStyle w:val="ListParagraph"/>
        <w:numPr>
          <w:ilvl w:val="0"/>
          <w:numId w:val="2"/>
        </w:numPr>
        <w:spacing w:after="60" w:line="252" w:lineRule="auto"/>
      </w:pPr>
      <w:r>
        <w:rPr>
          <w:color w:val="1A1A1A"/>
        </w:rPr>
        <w:t>Secure every dollar commitment by letter of credit, bond, or corporate guarantee, with a defined cure period and liquidated damages on shortfalls.</w:t>
      </w:r>
    </w:p>
    <w:p w14:paraId="27819CED" w14:textId="77777777" w:rsidR="005C41CC" w:rsidRDefault="009A7361">
      <w:pPr>
        <w:pStyle w:val="ListParagraph"/>
        <w:numPr>
          <w:ilvl w:val="0"/>
          <w:numId w:val="2"/>
        </w:numPr>
        <w:spacing w:after="60" w:line="252" w:lineRule="auto"/>
      </w:pPr>
      <w:r>
        <w:rPr>
          <w:color w:val="1A1A1A"/>
        </w:rPr>
        <w:t>Decline local tax abatement for data centers: the full tax base is the community benefit.</w:t>
      </w:r>
    </w:p>
    <w:p w14:paraId="326DF7A8" w14:textId="77777777" w:rsidR="005C41CC" w:rsidRDefault="009A7361">
      <w:pPr>
        <w:pStyle w:val="ListParagraph"/>
        <w:numPr>
          <w:ilvl w:val="0"/>
          <w:numId w:val="2"/>
        </w:numPr>
        <w:spacing w:after="60" w:line="252" w:lineRule="auto"/>
      </w:pPr>
      <w:r>
        <w:rPr>
          <w:color w:val="1A1A1A"/>
        </w:rPr>
        <w:t xml:space="preserve">State local hiring and local-vendor commitments honestly for a small permanent </w:t>
      </w:r>
      <w:proofErr w:type="gramStart"/>
      <w:r>
        <w:rPr>
          <w:color w:val="1A1A1A"/>
        </w:rPr>
        <w:t>headcount, and</w:t>
      </w:r>
      <w:proofErr w:type="gramEnd"/>
      <w:r>
        <w:rPr>
          <w:color w:val="1A1A1A"/>
        </w:rPr>
        <w:t xml:space="preserve"> provide a named resident seat and a public benefits dashboard.</w:t>
      </w:r>
    </w:p>
    <w:p w14:paraId="3FC2AD6A" w14:textId="77777777" w:rsidR="005C41CC" w:rsidRDefault="009A7361">
      <w:pPr>
        <w:spacing w:before="40" w:after="120" w:line="250" w:lineRule="auto"/>
        <w:ind w:left="260"/>
      </w:pPr>
      <w:r>
        <w:rPr>
          <w:b/>
          <w:bCs/>
          <w:i/>
          <w:iCs/>
          <w:color w:val="555555"/>
          <w:sz w:val="18"/>
          <w:szCs w:val="18"/>
        </w:rPr>
        <w:t xml:space="preserve">Precedent. </w:t>
      </w:r>
      <w:r>
        <w:rPr>
          <w:i/>
          <w:iCs/>
          <w:color w:val="555555"/>
          <w:sz w:val="18"/>
          <w:szCs w:val="18"/>
        </w:rPr>
        <w:t>St. Louis, MO Armory community-benefits agreement, approximately $30 per square foot (about $15M), liquidated damages on tax-revenue shortfall, and no abatement (adopted condition, April 2026); DeKalb, IL revenue-to-tax-relief routing.</w:t>
      </w:r>
    </w:p>
    <w:p w14:paraId="2A839CFE" w14:textId="77777777" w:rsidR="005C41CC" w:rsidRDefault="009A7361">
      <w:pPr>
        <w:pStyle w:val="Heading1"/>
        <w:keepNext/>
        <w:pBdr>
          <w:bottom w:val="single" w:sz="6" w:space="3" w:color="9A7B1F"/>
        </w:pBdr>
        <w:spacing w:before="260" w:after="100"/>
      </w:pPr>
      <w:r>
        <w:rPr>
          <w:b/>
          <w:bCs/>
          <w:color w:val="1F2A44"/>
          <w:sz w:val="25"/>
          <w:szCs w:val="25"/>
        </w:rPr>
        <w:t>Article XVII. Application and Review Process</w:t>
      </w:r>
    </w:p>
    <w:p w14:paraId="162A7BD1" w14:textId="77777777" w:rsidR="005C41CC" w:rsidRDefault="009A7361">
      <w:pPr>
        <w:keepNext/>
        <w:spacing w:before="150" w:after="50"/>
      </w:pPr>
      <w:proofErr w:type="gramStart"/>
      <w:r>
        <w:rPr>
          <w:b/>
          <w:bCs/>
          <w:color w:val="3F6B4A"/>
          <w:sz w:val="21"/>
          <w:szCs w:val="21"/>
        </w:rPr>
        <w:t>17.1  Trust</w:t>
      </w:r>
      <w:proofErr w:type="gramEnd"/>
      <w:r>
        <w:rPr>
          <w:b/>
          <w:bCs/>
          <w:color w:val="3F6B4A"/>
          <w:sz w:val="21"/>
          <w:szCs w:val="21"/>
        </w:rPr>
        <w:t xml:space="preserve"> provisions</w:t>
      </w:r>
    </w:p>
    <w:p w14:paraId="76DCB599" w14:textId="77777777" w:rsidR="005C41CC" w:rsidRDefault="009A7361">
      <w:pPr>
        <w:pStyle w:val="ListParagraph"/>
        <w:numPr>
          <w:ilvl w:val="0"/>
          <w:numId w:val="2"/>
        </w:numPr>
        <w:spacing w:after="60" w:line="252" w:lineRule="auto"/>
      </w:pPr>
      <w:r>
        <w:rPr>
          <w:color w:val="1A1A1A"/>
        </w:rPr>
        <w:t>No non-disclosure agreements with public officials. Undisclosed or unknown power or water demand automatically routes a project to the most rigorous review track.</w:t>
      </w:r>
    </w:p>
    <w:p w14:paraId="0C2FA306" w14:textId="77777777" w:rsidR="005C41CC" w:rsidRDefault="009A7361">
      <w:pPr>
        <w:pStyle w:val="ListParagraph"/>
        <w:numPr>
          <w:ilvl w:val="0"/>
          <w:numId w:val="2"/>
        </w:numPr>
        <w:spacing w:after="60" w:line="252" w:lineRule="auto"/>
      </w:pPr>
      <w:r>
        <w:rPr>
          <w:color w:val="1A1A1A"/>
        </w:rPr>
        <w:t>Independent, County-selected peer review of every technical study (water, noise, power), chosen by the County and paid from an applicant-funded escrow.</w:t>
      </w:r>
    </w:p>
    <w:p w14:paraId="1A8DDB26" w14:textId="77777777" w:rsidR="005C41CC" w:rsidRDefault="009A7361">
      <w:pPr>
        <w:pStyle w:val="ListParagraph"/>
        <w:numPr>
          <w:ilvl w:val="0"/>
          <w:numId w:val="2"/>
        </w:numPr>
        <w:spacing w:after="60" w:line="252" w:lineRule="auto"/>
      </w:pPr>
      <w:r>
        <w:rPr>
          <w:color w:val="1A1A1A"/>
        </w:rPr>
        <w:t>Annexation disclosure. Applicants disclose any annexation discussions, and the County exercises its statutory city-consultation right.</w:t>
      </w:r>
    </w:p>
    <w:p w14:paraId="4F1CFC99" w14:textId="77777777" w:rsidR="005C41CC" w:rsidRDefault="009A7361">
      <w:pPr>
        <w:pStyle w:val="ListParagraph"/>
        <w:numPr>
          <w:ilvl w:val="0"/>
          <w:numId w:val="2"/>
        </w:numPr>
        <w:spacing w:after="60" w:line="252" w:lineRule="auto"/>
      </w:pPr>
      <w:r>
        <w:rPr>
          <w:color w:val="1A1A1A"/>
        </w:rPr>
        <w:t>A live public project dashboard at least two weeks before the first hearing.</w:t>
      </w:r>
    </w:p>
    <w:p w14:paraId="2613517A" w14:textId="77777777" w:rsidR="005C41CC" w:rsidRDefault="009A7361">
      <w:pPr>
        <w:keepNext/>
        <w:spacing w:before="150" w:after="50"/>
      </w:pPr>
      <w:proofErr w:type="gramStart"/>
      <w:r>
        <w:rPr>
          <w:b/>
          <w:bCs/>
          <w:color w:val="3F6B4A"/>
          <w:sz w:val="21"/>
          <w:szCs w:val="21"/>
        </w:rPr>
        <w:t>17.2  Submittal</w:t>
      </w:r>
      <w:proofErr w:type="gramEnd"/>
      <w:r>
        <w:rPr>
          <w:b/>
          <w:bCs/>
          <w:color w:val="3F6B4A"/>
          <w:sz w:val="21"/>
          <w:szCs w:val="21"/>
        </w:rPr>
        <w:t xml:space="preserve"> sequence</w:t>
      </w:r>
    </w:p>
    <w:p w14:paraId="4E296B45" w14:textId="77777777" w:rsidR="005C41CC" w:rsidRDefault="009A7361">
      <w:pPr>
        <w:spacing w:after="90" w:line="256" w:lineRule="auto"/>
      </w:pPr>
      <w:r>
        <w:rPr>
          <w:color w:val="1A1A1A"/>
        </w:rPr>
        <w:t xml:space="preserve">Pre-application concept meeting; mailed neighbor notice within 1,000 feet within 14 days of filing; an applicant-hosted public information meeting before the Planning and Zoning hearing; a full disclosure packet (peak MW, gallons per day and cooling method, water source, backup generation and emissions, jobs, timeline, and tax posture) with the Water </w:t>
      </w:r>
      <w:r>
        <w:rPr>
          <w:color w:val="1A1A1A"/>
        </w:rPr>
        <w:lastRenderedPageBreak/>
        <w:t>Study, draft agreements, and site plan; the Planning and Zoning recommendation and Board decision; and the pre-building-permit plan set (lighting, noise, road-use, water-use, emergency, stormwater, waste, and decommissioning).</w:t>
      </w:r>
    </w:p>
    <w:p w14:paraId="26050784" w14:textId="77777777" w:rsidR="005C41CC" w:rsidRDefault="009A7361">
      <w:pPr>
        <w:pStyle w:val="Heading1"/>
        <w:keepNext/>
        <w:pBdr>
          <w:bottom w:val="single" w:sz="6" w:space="3" w:color="9A7B1F"/>
        </w:pBdr>
        <w:spacing w:before="260" w:after="100"/>
      </w:pPr>
      <w:r>
        <w:rPr>
          <w:b/>
          <w:bCs/>
          <w:color w:val="1F2A44"/>
          <w:sz w:val="25"/>
          <w:szCs w:val="25"/>
        </w:rPr>
        <w:t>Article XVIII. Cumulative Limits and Automatic Review</w:t>
      </w:r>
    </w:p>
    <w:p w14:paraId="29FE1770" w14:textId="06819E04" w:rsidR="005C41CC" w:rsidRDefault="009A7361">
      <w:pPr>
        <w:spacing w:after="90" w:line="256" w:lineRule="auto"/>
      </w:pPr>
      <w:r>
        <w:rPr>
          <w:color w:val="1A1A1A"/>
        </w:rPr>
        <w:t xml:space="preserve">Per-project rules do not answer the cumulative question: how many facilities </w:t>
      </w:r>
      <w:proofErr w:type="gramStart"/>
      <w:r>
        <w:rPr>
          <w:color w:val="1A1A1A"/>
        </w:rPr>
        <w:t>can the County carry</w:t>
      </w:r>
      <w:proofErr w:type="gramEnd"/>
      <w:r>
        <w:rPr>
          <w:color w:val="1A1A1A"/>
        </w:rPr>
        <w:t>. This article answers it up front, so the County need not impose a second moratorium. The 50 MW per-parcel cap bounds any single site; this article bounds the County as a whole.</w:t>
      </w:r>
    </w:p>
    <w:p w14:paraId="13D5FE47" w14:textId="77777777" w:rsidR="005C41CC" w:rsidRDefault="009A7361">
      <w:pPr>
        <w:spacing w:after="70" w:line="254" w:lineRule="auto"/>
        <w:ind w:left="460" w:hanging="300"/>
      </w:pPr>
      <w:r>
        <w:rPr>
          <w:b/>
          <w:bCs/>
          <w:color w:val="1F2A44"/>
        </w:rPr>
        <w:t xml:space="preserve">(a)  </w:t>
      </w:r>
      <w:r>
        <w:rPr>
          <w:color w:val="1A1A1A"/>
        </w:rPr>
        <w:t>Land ceiling: total acreage in data-center use, capped at a set share of county acreage.</w:t>
      </w:r>
    </w:p>
    <w:p w14:paraId="1388B46D" w14:textId="77777777" w:rsidR="005C41CC" w:rsidRDefault="009A7361">
      <w:pPr>
        <w:spacing w:after="70" w:line="254" w:lineRule="auto"/>
        <w:ind w:left="460" w:hanging="300"/>
      </w:pPr>
      <w:r>
        <w:rPr>
          <w:b/>
          <w:bCs/>
          <w:color w:val="1F2A44"/>
        </w:rPr>
        <w:t xml:space="preserve">(b)  </w:t>
      </w:r>
      <w:r>
        <w:rPr>
          <w:color w:val="1A1A1A"/>
        </w:rPr>
        <w:t>Water ceiling: cumulative permitted groundwater withdrawal, capped against the aquifer's modeled sustainable yield.</w:t>
      </w:r>
    </w:p>
    <w:p w14:paraId="7E7E69C6" w14:textId="77777777" w:rsidR="005C41CC" w:rsidRDefault="009A7361">
      <w:pPr>
        <w:spacing w:after="70" w:line="254" w:lineRule="auto"/>
        <w:ind w:left="460" w:hanging="300"/>
      </w:pPr>
      <w:r>
        <w:rPr>
          <w:b/>
          <w:bCs/>
          <w:color w:val="1F2A44"/>
        </w:rPr>
        <w:t xml:space="preserve">(c)  </w:t>
      </w:r>
      <w:r>
        <w:rPr>
          <w:color w:val="1A1A1A"/>
        </w:rPr>
        <w:t>Power ceiling: cumulative interconnected MW, capped at utility-certified available capacity.</w:t>
      </w:r>
    </w:p>
    <w:p w14:paraId="52ACC944" w14:textId="77777777" w:rsidR="005C41CC" w:rsidRDefault="009A7361">
      <w:pPr>
        <w:spacing w:after="90" w:line="256" w:lineRule="auto"/>
      </w:pPr>
      <w:r>
        <w:rPr>
          <w:color w:val="1A1A1A"/>
        </w:rPr>
        <w:t xml:space="preserve">The County publishes a running remaining-capacity ledger, and the ordinance reopens automatically at the earliest </w:t>
      </w:r>
      <w:proofErr w:type="gramStart"/>
      <w:r>
        <w:rPr>
          <w:color w:val="1A1A1A"/>
        </w:rPr>
        <w:t>of:</w:t>
      </w:r>
      <w:proofErr w:type="gramEnd"/>
      <w:r>
        <w:rPr>
          <w:color w:val="1A1A1A"/>
        </w:rPr>
        <w:t xml:space="preserve"> any single ceiling reaching 75 percent; three years elapsing; completion of the State's Dakota-aquifer study; or a utility revision to its capacity certification. The ceilings are adopted as Comprehensive-Plan findings first, then written into the zoning ordinance.</w:t>
      </w:r>
    </w:p>
    <w:p w14:paraId="49B204C1" w14:textId="77777777" w:rsidR="005C41CC" w:rsidRDefault="009A7361">
      <w:pPr>
        <w:pStyle w:val="Heading1"/>
        <w:keepNext/>
        <w:pBdr>
          <w:bottom w:val="single" w:sz="6" w:space="3" w:color="9A7B1F"/>
        </w:pBdr>
        <w:spacing w:before="260" w:after="100"/>
      </w:pPr>
      <w:r>
        <w:rPr>
          <w:b/>
          <w:bCs/>
          <w:color w:val="1F2A44"/>
          <w:sz w:val="25"/>
          <w:szCs w:val="25"/>
        </w:rPr>
        <w:t>Article XIX. Enforcement, Severability, and Adoption</w:t>
      </w:r>
    </w:p>
    <w:p w14:paraId="4D6D2BCA" w14:textId="77777777" w:rsidR="005C41CC" w:rsidRDefault="009A7361">
      <w:pPr>
        <w:keepNext/>
        <w:spacing w:before="150" w:after="50"/>
      </w:pPr>
      <w:proofErr w:type="gramStart"/>
      <w:r>
        <w:rPr>
          <w:b/>
          <w:bCs/>
          <w:color w:val="3F6B4A"/>
          <w:sz w:val="21"/>
          <w:szCs w:val="21"/>
        </w:rPr>
        <w:t>19.1  Enforcement</w:t>
      </w:r>
      <w:proofErr w:type="gramEnd"/>
    </w:p>
    <w:p w14:paraId="7035CFC1" w14:textId="77777777" w:rsidR="005C41CC" w:rsidRDefault="009A7361">
      <w:pPr>
        <w:pStyle w:val="ListParagraph"/>
        <w:numPr>
          <w:ilvl w:val="0"/>
          <w:numId w:val="2"/>
        </w:numPr>
        <w:spacing w:after="60" w:line="252" w:lineRule="auto"/>
      </w:pPr>
      <w:r>
        <w:rPr>
          <w:color w:val="1A1A1A"/>
        </w:rPr>
        <w:t xml:space="preserve">Water: liquidated damages per 1,000 gallons of unauthorized withdrawal; three violations in five years </w:t>
      </w:r>
      <w:proofErr w:type="gramStart"/>
      <w:r>
        <w:rPr>
          <w:color w:val="1A1A1A"/>
        </w:rPr>
        <w:t>suspends</w:t>
      </w:r>
      <w:proofErr w:type="gramEnd"/>
      <w:r>
        <w:rPr>
          <w:color w:val="1A1A1A"/>
        </w:rPr>
        <w:t xml:space="preserve"> the certificate of occupancy.</w:t>
      </w:r>
    </w:p>
    <w:p w14:paraId="5B70041E" w14:textId="77777777" w:rsidR="005C41CC" w:rsidRDefault="009A7361">
      <w:pPr>
        <w:pStyle w:val="ListParagraph"/>
        <w:numPr>
          <w:ilvl w:val="0"/>
          <w:numId w:val="2"/>
        </w:numPr>
        <w:spacing w:after="60" w:line="252" w:lineRule="auto"/>
      </w:pPr>
      <w:r>
        <w:rPr>
          <w:color w:val="1A1A1A"/>
        </w:rPr>
        <w:t>Noise and light: violation notice, then an operator-funded remediation plan, then an escalating daily fine, with the operator bearing all testing costs.</w:t>
      </w:r>
    </w:p>
    <w:p w14:paraId="735AC70A" w14:textId="77777777" w:rsidR="005C41CC" w:rsidRDefault="009A7361">
      <w:pPr>
        <w:pStyle w:val="ListParagraph"/>
        <w:numPr>
          <w:ilvl w:val="0"/>
          <w:numId w:val="2"/>
        </w:numPr>
        <w:spacing w:after="60" w:line="252" w:lineRule="auto"/>
      </w:pPr>
      <w:r>
        <w:rPr>
          <w:color w:val="1A1A1A"/>
        </w:rPr>
        <w:t>Backstops: 48-hour inspection access, full indemnification of County legal costs, and injunctive relief, so that a court may order a non-compliant facility to cease operating.</w:t>
      </w:r>
    </w:p>
    <w:p w14:paraId="7C92CA28" w14:textId="77777777" w:rsidR="005C41CC" w:rsidRDefault="009A7361">
      <w:pPr>
        <w:keepNext/>
        <w:spacing w:before="150" w:after="50"/>
      </w:pPr>
      <w:proofErr w:type="gramStart"/>
      <w:r>
        <w:rPr>
          <w:b/>
          <w:bCs/>
          <w:color w:val="3F6B4A"/>
          <w:sz w:val="21"/>
          <w:szCs w:val="21"/>
        </w:rPr>
        <w:t>19.2  Severability</w:t>
      </w:r>
      <w:proofErr w:type="gramEnd"/>
    </w:p>
    <w:p w14:paraId="266266BB" w14:textId="77777777" w:rsidR="005C41CC" w:rsidRDefault="009A7361">
      <w:pPr>
        <w:spacing w:after="90" w:line="256" w:lineRule="auto"/>
      </w:pPr>
      <w:r>
        <w:rPr>
          <w:color w:val="1A1A1A"/>
        </w:rPr>
        <w:t>If any provision of this amendment is held invalid, the remaining provisions remain in effect.</w:t>
      </w:r>
    </w:p>
    <w:p w14:paraId="280BD3B3" w14:textId="2EA274D9" w:rsidR="005C41CC" w:rsidRDefault="009A7361">
      <w:pPr>
        <w:keepNext/>
        <w:spacing w:before="150" w:after="50"/>
      </w:pPr>
      <w:proofErr w:type="gramStart"/>
      <w:r>
        <w:rPr>
          <w:b/>
          <w:bCs/>
          <w:color w:val="3F6B4A"/>
          <w:sz w:val="21"/>
          <w:szCs w:val="21"/>
        </w:rPr>
        <w:t>19.3  Adoption</w:t>
      </w:r>
      <w:proofErr w:type="gramEnd"/>
      <w:r>
        <w:rPr>
          <w:b/>
          <w:bCs/>
          <w:color w:val="3F6B4A"/>
          <w:sz w:val="21"/>
          <w:szCs w:val="21"/>
        </w:rPr>
        <w:t xml:space="preserve"> mechanics (</w:t>
      </w:r>
      <w:r w:rsidR="00533D94">
        <w:rPr>
          <w:b/>
          <w:bCs/>
          <w:color w:val="3F6B4A"/>
          <w:sz w:val="21"/>
          <w:szCs w:val="21"/>
        </w:rPr>
        <w:t>[Insert Your State]</w:t>
      </w:r>
      <w:r>
        <w:rPr>
          <w:b/>
          <w:bCs/>
          <w:color w:val="3F6B4A"/>
          <w:sz w:val="21"/>
          <w:szCs w:val="21"/>
        </w:rPr>
        <w:t>)</w:t>
      </w:r>
    </w:p>
    <w:p w14:paraId="68C5439B" w14:textId="4E0F05F1" w:rsidR="005C41CC" w:rsidRDefault="009A7361">
      <w:pPr>
        <w:spacing w:after="90" w:line="256" w:lineRule="auto"/>
      </w:pPr>
      <w:r>
        <w:rPr>
          <w:color w:val="1A1A1A"/>
        </w:rPr>
        <w:t>A Planning and Zoning Commission recommendation is a statutory prerequisite (</w:t>
      </w:r>
      <w:r w:rsidR="00533D94">
        <w:rPr>
          <w:color w:val="1A1A1A"/>
        </w:rPr>
        <w:t>[Insert Your State]</w:t>
      </w:r>
      <w:r>
        <w:rPr>
          <w:color w:val="1A1A1A"/>
        </w:rPr>
        <w:t xml:space="preserve"> Code 335.5); the Board considers the ordinance at three separate meetings (331.302); and a protest by owners within 500 feet forces a 60 percent supermajority (335.7). Linn County completed this sequence in approximately four weeks.</w:t>
      </w:r>
    </w:p>
    <w:p w14:paraId="72BF7962" w14:textId="77777777" w:rsidR="005C41CC" w:rsidRDefault="009A7361">
      <w:pPr>
        <w:pBdr>
          <w:top w:val="single" w:sz="8" w:space="6" w:color="1F2A44"/>
        </w:pBdr>
        <w:spacing w:before="240" w:after="60"/>
      </w:pPr>
      <w:r>
        <w:rPr>
          <w:b/>
          <w:bCs/>
          <w:color w:val="1F2A44"/>
        </w:rPr>
        <w:t>Status of this draft</w:t>
      </w:r>
    </w:p>
    <w:p w14:paraId="36A089E8" w14:textId="548CA048" w:rsidR="005C41CC" w:rsidRDefault="009A7361">
      <w:pPr>
        <w:spacing w:after="90" w:line="256" w:lineRule="auto"/>
      </w:pPr>
      <w:r>
        <w:rPr>
          <w:i/>
          <w:iCs/>
          <w:color w:val="555555"/>
          <w:sz w:val="18"/>
          <w:szCs w:val="18"/>
        </w:rPr>
        <w:t xml:space="preserve">A working draft for County review, not a finished ordinance and not an adopted standard. All numeric values are proposed benchmarks drawn from adopted ordinances (Linn County EU-3, Susquehanna County PA Section 713, Loudoun County VA, St. Louis Armory conditions, and others), from clearly labeled model ordinances, from the County’s own wind and solar rules, and from published water-use data and the Shumate Engineering cooling-system matrix. Several provisions touch matters </w:t>
      </w:r>
      <w:r w:rsidR="00533D94">
        <w:rPr>
          <w:i/>
          <w:iCs/>
          <w:color w:val="555555"/>
          <w:sz w:val="18"/>
          <w:szCs w:val="18"/>
        </w:rPr>
        <w:t>[Insert Your State]</w:t>
      </w:r>
      <w:r>
        <w:rPr>
          <w:i/>
          <w:iCs/>
          <w:color w:val="555555"/>
          <w:sz w:val="18"/>
          <w:szCs w:val="18"/>
        </w:rPr>
        <w:t xml:space="preserve"> law reserves to the State: water-use permitting sits with the </w:t>
      </w:r>
      <w:r w:rsidR="00533D94">
        <w:rPr>
          <w:i/>
          <w:iCs/>
          <w:color w:val="555555"/>
          <w:sz w:val="18"/>
          <w:szCs w:val="18"/>
        </w:rPr>
        <w:t>[Insert Your State]</w:t>
      </w:r>
      <w:r>
        <w:rPr>
          <w:i/>
          <w:iCs/>
          <w:color w:val="555555"/>
          <w:sz w:val="18"/>
          <w:szCs w:val="18"/>
        </w:rPr>
        <w:t xml:space="preserve"> DNR and electric rates with the </w:t>
      </w:r>
      <w:r w:rsidR="00533D94">
        <w:rPr>
          <w:i/>
          <w:iCs/>
          <w:color w:val="555555"/>
          <w:sz w:val="18"/>
          <w:szCs w:val="18"/>
        </w:rPr>
        <w:t>[Insert Your State]</w:t>
      </w:r>
      <w:r>
        <w:rPr>
          <w:i/>
          <w:iCs/>
          <w:color w:val="555555"/>
          <w:sz w:val="18"/>
          <w:szCs w:val="18"/>
        </w:rPr>
        <w:t xml:space="preserve"> Utilities Commission. The County Attorney reviews and finalizes all language before adoption.</w:t>
      </w:r>
    </w:p>
    <w:sectPr w:rsidR="005C41CC">
      <w:headerReference w:type="default" r:id="rId10"/>
      <w:footerReference w:type="default" r:id="rId11"/>
      <w:pgSz w:w="12240" w:h="15840"/>
      <w:pgMar w:top="1080" w:right="1160" w:bottom="1160" w:left="11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3A7401" w14:textId="77777777" w:rsidR="00A15E86" w:rsidRDefault="00A15E86">
      <w:r>
        <w:separator/>
      </w:r>
    </w:p>
  </w:endnote>
  <w:endnote w:type="continuationSeparator" w:id="0">
    <w:p w14:paraId="225F502D" w14:textId="77777777" w:rsidR="00A15E86" w:rsidRDefault="00A15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60F2C4" w14:textId="77777777" w:rsidR="005C41CC" w:rsidRDefault="009A7361">
    <w:pPr>
      <w:pBdr>
        <w:top w:val="single" w:sz="4" w:space="3" w:color="DDDDDD"/>
      </w:pBdr>
      <w:tabs>
        <w:tab w:val="right" w:pos="9026"/>
      </w:tabs>
    </w:pPr>
    <w:r>
      <w:rPr>
        <w:i/>
        <w:iCs/>
        <w:color w:val="555555"/>
        <w:sz w:val="15"/>
        <w:szCs w:val="15"/>
      </w:rPr>
      <w:t>Prepared by PathOne Data Centers for County review. Not legal advice.</w:t>
    </w:r>
    <w:r>
      <w:rPr>
        <w:sz w:val="15"/>
        <w:szCs w:val="15"/>
      </w:rPr>
      <w:tab/>
    </w:r>
    <w:r>
      <w:rPr>
        <w:color w:val="555555"/>
        <w:sz w:val="15"/>
        <w:szCs w:val="15"/>
      </w:rPr>
      <w:t xml:space="preserve">Page </w:t>
    </w:r>
    <w:r>
      <w:rPr>
        <w:color w:val="555555"/>
        <w:sz w:val="15"/>
        <w:szCs w:val="15"/>
      </w:rPr>
      <w:fldChar w:fldCharType="begin"/>
    </w:r>
    <w:r>
      <w:rPr>
        <w:color w:val="555555"/>
        <w:sz w:val="15"/>
        <w:szCs w:val="15"/>
      </w:rPr>
      <w:instrText>PAGE</w:instrText>
    </w:r>
    <w:r>
      <w:rPr>
        <w:color w:val="555555"/>
        <w:sz w:val="15"/>
        <w:szCs w:val="15"/>
      </w:rPr>
      <w:fldChar w:fldCharType="separate"/>
    </w:r>
    <w:r w:rsidR="00704753">
      <w:rPr>
        <w:noProof/>
        <w:color w:val="555555"/>
        <w:sz w:val="15"/>
        <w:szCs w:val="15"/>
      </w:rPr>
      <w:t>1</w:t>
    </w:r>
    <w:r>
      <w:rPr>
        <w:color w:val="55555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FA18CE" w14:textId="77777777" w:rsidR="00A15E86" w:rsidRDefault="00A15E86">
      <w:r>
        <w:separator/>
      </w:r>
    </w:p>
  </w:footnote>
  <w:footnote w:type="continuationSeparator" w:id="0">
    <w:p w14:paraId="4D07F992" w14:textId="77777777" w:rsidR="00A15E86" w:rsidRDefault="00A15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449C1F" w14:textId="0D82A490" w:rsidR="005C41CC" w:rsidRDefault="009A7361">
    <w:pPr>
      <w:pBdr>
        <w:bottom w:val="single" w:sz="4" w:space="3" w:color="DDDDDD"/>
      </w:pBdr>
    </w:pPr>
    <w:r>
      <w:rPr>
        <w:color w:val="555555"/>
        <w:spacing w:val="20"/>
        <w:sz w:val="15"/>
        <w:szCs w:val="15"/>
      </w:rPr>
      <w:t xml:space="preserve">DATA CENTER DESIGN </w:t>
    </w:r>
    <w:proofErr w:type="gramStart"/>
    <w:r>
      <w:rPr>
        <w:color w:val="555555"/>
        <w:spacing w:val="20"/>
        <w:sz w:val="15"/>
        <w:szCs w:val="15"/>
      </w:rPr>
      <w:t>STANDARDS  ·</w:t>
    </w:r>
    <w:proofErr w:type="gramEnd"/>
    <w:r>
      <w:rPr>
        <w:color w:val="555555"/>
        <w:spacing w:val="20"/>
        <w:sz w:val="15"/>
        <w:szCs w:val="15"/>
      </w:rPr>
      <w:t xml:space="preserve">  DRAFT AMENDMENT v0.1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AD3F9D"/>
    <w:multiLevelType w:val="hybridMultilevel"/>
    <w:tmpl w:val="359AE358"/>
    <w:lvl w:ilvl="0" w:tplc="4BD0D442">
      <w:start w:val="1"/>
      <w:numFmt w:val="bullet"/>
      <w:lvlText w:val="•"/>
      <w:lvlJc w:val="left"/>
      <w:pPr>
        <w:ind w:left="460" w:hanging="240"/>
      </w:pPr>
    </w:lvl>
    <w:lvl w:ilvl="1" w:tplc="5ECAFC50">
      <w:numFmt w:val="decimal"/>
      <w:lvlText w:val=""/>
      <w:lvlJc w:val="left"/>
    </w:lvl>
    <w:lvl w:ilvl="2" w:tplc="21029242">
      <w:numFmt w:val="decimal"/>
      <w:lvlText w:val=""/>
      <w:lvlJc w:val="left"/>
    </w:lvl>
    <w:lvl w:ilvl="3" w:tplc="5A62D2A2">
      <w:numFmt w:val="decimal"/>
      <w:lvlText w:val=""/>
      <w:lvlJc w:val="left"/>
    </w:lvl>
    <w:lvl w:ilvl="4" w:tplc="3B767EDE">
      <w:numFmt w:val="decimal"/>
      <w:lvlText w:val=""/>
      <w:lvlJc w:val="left"/>
    </w:lvl>
    <w:lvl w:ilvl="5" w:tplc="A0FEDA04">
      <w:numFmt w:val="decimal"/>
      <w:lvlText w:val=""/>
      <w:lvlJc w:val="left"/>
    </w:lvl>
    <w:lvl w:ilvl="6" w:tplc="7C4E38EC">
      <w:numFmt w:val="decimal"/>
      <w:lvlText w:val=""/>
      <w:lvlJc w:val="left"/>
    </w:lvl>
    <w:lvl w:ilvl="7" w:tplc="3D72B582">
      <w:numFmt w:val="decimal"/>
      <w:lvlText w:val=""/>
      <w:lvlJc w:val="left"/>
    </w:lvl>
    <w:lvl w:ilvl="8" w:tplc="C13EECD6">
      <w:numFmt w:val="decimal"/>
      <w:lvlText w:val=""/>
      <w:lvlJc w:val="left"/>
    </w:lvl>
  </w:abstractNum>
  <w:abstractNum w:abstractNumId="1" w15:restartNumberingAfterBreak="0">
    <w:nsid w:val="56DB53A8"/>
    <w:multiLevelType w:val="hybridMultilevel"/>
    <w:tmpl w:val="D2A6AC2C"/>
    <w:lvl w:ilvl="0" w:tplc="B17A44F8">
      <w:start w:val="1"/>
      <w:numFmt w:val="bullet"/>
      <w:lvlText w:val="●"/>
      <w:lvlJc w:val="left"/>
      <w:pPr>
        <w:ind w:left="720" w:hanging="360"/>
      </w:pPr>
    </w:lvl>
    <w:lvl w:ilvl="1" w:tplc="487AFEC2">
      <w:start w:val="1"/>
      <w:numFmt w:val="bullet"/>
      <w:lvlText w:val="○"/>
      <w:lvlJc w:val="left"/>
      <w:pPr>
        <w:ind w:left="1440" w:hanging="360"/>
      </w:pPr>
    </w:lvl>
    <w:lvl w:ilvl="2" w:tplc="0C64B138">
      <w:start w:val="1"/>
      <w:numFmt w:val="bullet"/>
      <w:lvlText w:val="■"/>
      <w:lvlJc w:val="left"/>
      <w:pPr>
        <w:ind w:left="2160" w:hanging="360"/>
      </w:pPr>
    </w:lvl>
    <w:lvl w:ilvl="3" w:tplc="5C9A0BFC">
      <w:start w:val="1"/>
      <w:numFmt w:val="bullet"/>
      <w:lvlText w:val="●"/>
      <w:lvlJc w:val="left"/>
      <w:pPr>
        <w:ind w:left="2880" w:hanging="360"/>
      </w:pPr>
    </w:lvl>
    <w:lvl w:ilvl="4" w:tplc="0E0A1352">
      <w:start w:val="1"/>
      <w:numFmt w:val="bullet"/>
      <w:lvlText w:val="○"/>
      <w:lvlJc w:val="left"/>
      <w:pPr>
        <w:ind w:left="3600" w:hanging="360"/>
      </w:pPr>
    </w:lvl>
    <w:lvl w:ilvl="5" w:tplc="95182B88">
      <w:start w:val="1"/>
      <w:numFmt w:val="bullet"/>
      <w:lvlText w:val="■"/>
      <w:lvlJc w:val="left"/>
      <w:pPr>
        <w:ind w:left="4320" w:hanging="360"/>
      </w:pPr>
    </w:lvl>
    <w:lvl w:ilvl="6" w:tplc="785A78C8">
      <w:start w:val="1"/>
      <w:numFmt w:val="bullet"/>
      <w:lvlText w:val="●"/>
      <w:lvlJc w:val="left"/>
      <w:pPr>
        <w:ind w:left="5040" w:hanging="360"/>
      </w:pPr>
    </w:lvl>
    <w:lvl w:ilvl="7" w:tplc="01706242">
      <w:start w:val="1"/>
      <w:numFmt w:val="bullet"/>
      <w:lvlText w:val="●"/>
      <w:lvlJc w:val="left"/>
      <w:pPr>
        <w:ind w:left="5760" w:hanging="360"/>
      </w:pPr>
    </w:lvl>
    <w:lvl w:ilvl="8" w:tplc="0BA62A06">
      <w:start w:val="1"/>
      <w:numFmt w:val="bullet"/>
      <w:lvlText w:val="●"/>
      <w:lvlJc w:val="left"/>
      <w:pPr>
        <w:ind w:left="6480" w:hanging="360"/>
      </w:pPr>
    </w:lvl>
  </w:abstractNum>
  <w:num w:numId="1" w16cid:durableId="2091387536">
    <w:abstractNumId w:val="1"/>
    <w:lvlOverride w:ilvl="0">
      <w:startOverride w:val="1"/>
    </w:lvlOverride>
  </w:num>
  <w:num w:numId="2" w16cid:durableId="20507100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41CC"/>
    <w:rsid w:val="00206C7E"/>
    <w:rsid w:val="00533D94"/>
    <w:rsid w:val="005C41CC"/>
    <w:rsid w:val="00704753"/>
    <w:rsid w:val="009A7361"/>
    <w:rsid w:val="00A15E86"/>
    <w:rsid w:val="00F82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32789"/>
  <w15:docId w15:val="{99BF5AB7-2D8F-4B68-8C99-0482A47A4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33D94"/>
    <w:pPr>
      <w:tabs>
        <w:tab w:val="center" w:pos="4680"/>
        <w:tab w:val="right" w:pos="9360"/>
      </w:tabs>
    </w:pPr>
  </w:style>
  <w:style w:type="character" w:customStyle="1" w:styleId="HeaderChar">
    <w:name w:val="Header Char"/>
    <w:basedOn w:val="DefaultParagraphFont"/>
    <w:link w:val="Header"/>
    <w:uiPriority w:val="99"/>
    <w:rsid w:val="00533D94"/>
  </w:style>
  <w:style w:type="paragraph" w:styleId="Footer">
    <w:name w:val="footer"/>
    <w:basedOn w:val="Normal"/>
    <w:link w:val="FooterChar"/>
    <w:uiPriority w:val="99"/>
    <w:unhideWhenUsed/>
    <w:rsid w:val="00533D94"/>
    <w:pPr>
      <w:tabs>
        <w:tab w:val="center" w:pos="4680"/>
        <w:tab w:val="right" w:pos="9360"/>
      </w:tabs>
    </w:pPr>
  </w:style>
  <w:style w:type="character" w:customStyle="1" w:styleId="FooterChar">
    <w:name w:val="Footer Char"/>
    <w:basedOn w:val="DefaultParagraphFont"/>
    <w:link w:val="Footer"/>
    <w:uiPriority w:val="99"/>
    <w:rsid w:val="00533D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AAB0F8EF92446A5D1183B528C93CF" ma:contentTypeVersion="11" ma:contentTypeDescription="Create a new document." ma:contentTypeScope="" ma:versionID="55e0d624f510386047f73df086a0ae82">
  <xsd:schema xmlns:xsd="http://www.w3.org/2001/XMLSchema" xmlns:xs="http://www.w3.org/2001/XMLSchema" xmlns:p="http://schemas.microsoft.com/office/2006/metadata/properties" xmlns:ns2="d93676b0-a6ea-4b8a-b12f-c2b15ee561af" xmlns:ns3="11036c4d-c7d0-42f7-87eb-dfc3b90fd448" targetNamespace="http://schemas.microsoft.com/office/2006/metadata/properties" ma:root="true" ma:fieldsID="81cc45247599a65606873af5d174c374" ns2:_="" ns3:_="">
    <xsd:import namespace="d93676b0-a6ea-4b8a-b12f-c2b15ee561af"/>
    <xsd:import namespace="11036c4d-c7d0-42f7-87eb-dfc3b90fd4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3676b0-a6ea-4b8a-b12f-c2b15ee561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3552de-b4e8-4ef3-b40e-d0cb5f93767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036c4d-c7d0-42f7-87eb-dfc3b90fd4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0f3651-afa8-42bc-9461-4e7ea3cd647d}" ma:internalName="TaxCatchAll" ma:showField="CatchAllData" ma:web="11036c4d-c7d0-42f7-87eb-dfc3b90fd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93676b0-a6ea-4b8a-b12f-c2b15ee561af">
      <Terms xmlns="http://schemas.microsoft.com/office/infopath/2007/PartnerControls"/>
    </lcf76f155ced4ddcb4097134ff3c332f>
    <TaxCatchAll xmlns="11036c4d-c7d0-42f7-87eb-dfc3b90fd44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82ACF0-1BF7-44F9-A927-A7E29C5BCD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3676b0-a6ea-4b8a-b12f-c2b15ee561af"/>
    <ds:schemaRef ds:uri="11036c4d-c7d0-42f7-87eb-dfc3b90fd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6D37C2-01DC-4D82-A569-6867E7E5434D}">
  <ds:schemaRefs>
    <ds:schemaRef ds:uri="http://schemas.microsoft.com/office/2006/metadata/properties"/>
    <ds:schemaRef ds:uri="http://schemas.microsoft.com/office/infopath/2007/PartnerControls"/>
    <ds:schemaRef ds:uri="d93676b0-a6ea-4b8a-b12f-c2b15ee561af"/>
    <ds:schemaRef ds:uri="11036c4d-c7d0-42f7-87eb-dfc3b90fd448"/>
  </ds:schemaRefs>
</ds:datastoreItem>
</file>

<file path=customXml/itemProps3.xml><?xml version="1.0" encoding="utf-8"?>
<ds:datastoreItem xmlns:ds="http://schemas.openxmlformats.org/officeDocument/2006/customXml" ds:itemID="{664D5982-43FF-4190-BE8B-C3DD524CAE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4032</Words>
  <Characters>24112</Characters>
  <Application>Microsoft Office Word</Application>
  <DocSecurity>0</DocSecurity>
  <Lines>334</Lines>
  <Paragraphs>198</Paragraphs>
  <ScaleCrop>false</ScaleCrop>
  <Company/>
  <LinksUpToDate>false</LinksUpToDate>
  <CharactersWithSpaces>27946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Gyles Uhlenhopp</cp:lastModifiedBy>
  <cp:revision>3</cp:revision>
  <dcterms:created xsi:type="dcterms:W3CDTF">2026-07-29T14:24:00Z</dcterms:created>
  <dcterms:modified xsi:type="dcterms:W3CDTF">2026-09-19T20:49:00Z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0x0101009F2AAB0F8EF92446A5D1183B528C93CF</vt:lpwstr>
  </property>
  <property fmtid="{D5CDD505-2E9C-101B-9397-08002B2CF9AE}" pid="3" name="MediaServiceImageTags">
    <vt:lpwstr/>
  </property>
</Properties>
</file>